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1C8AB" w14:textId="3653FDBD" w:rsidR="006E523B" w:rsidRPr="00B266B0" w:rsidRDefault="006E523B" w:rsidP="006E523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65086" w:rsidRPr="00B266B0">
        <w:rPr>
          <w:bCs/>
          <w:noProof w:val="0"/>
          <w:sz w:val="24"/>
          <w:szCs w:val="24"/>
        </w:rPr>
        <w:t>1</w:t>
      </w:r>
      <w:r w:rsidR="00B65086">
        <w:rPr>
          <w:bCs/>
          <w:noProof w:val="0"/>
          <w:sz w:val="24"/>
          <w:szCs w:val="24"/>
        </w:rPr>
        <w:t>909496</w:t>
      </w:r>
    </w:p>
    <w:p w14:paraId="083C18AC" w14:textId="77777777" w:rsidR="00ED3BA8" w:rsidRPr="00B65086" w:rsidRDefault="006E523B" w:rsidP="006E523B">
      <w:pPr>
        <w:pStyle w:val="Header"/>
        <w:tabs>
          <w:tab w:val="right" w:pos="9639"/>
        </w:tabs>
        <w:rPr>
          <w:bCs/>
          <w:noProof w:val="0"/>
          <w:sz w:val="24"/>
          <w:szCs w:val="24"/>
          <w:lang w:val="en-US"/>
        </w:rPr>
      </w:pPr>
      <w:r w:rsidRPr="00F036E9">
        <w:rPr>
          <w:rFonts w:eastAsia="SimSun"/>
          <w:bCs/>
          <w:sz w:val="24"/>
          <w:szCs w:val="24"/>
          <w:lang w:eastAsia="zh-CN"/>
        </w:rPr>
        <w:t>Prague,  Czech Republic, 26 – 30 August 2019</w:t>
      </w:r>
      <w:r w:rsidR="00ED3BA8" w:rsidRPr="00B65086">
        <w:rPr>
          <w:rFonts w:eastAsia="SimSun"/>
          <w:noProof w:val="0"/>
          <w:sz w:val="24"/>
          <w:szCs w:val="24"/>
          <w:lang w:val="en-US" w:eastAsia="zh-CN"/>
        </w:rPr>
        <w:tab/>
      </w:r>
    </w:p>
    <w:p w14:paraId="048B3C14" w14:textId="77777777" w:rsidR="00ED3BA8" w:rsidRPr="00B65086" w:rsidRDefault="00ED3BA8" w:rsidP="00ED3BA8">
      <w:pPr>
        <w:pStyle w:val="Header"/>
        <w:rPr>
          <w:bCs/>
          <w:noProof w:val="0"/>
          <w:sz w:val="24"/>
          <w:lang w:val="en-US"/>
        </w:rPr>
      </w:pPr>
    </w:p>
    <w:p w14:paraId="6C8C8A94" w14:textId="77777777" w:rsidR="00ED3BA8" w:rsidRPr="00B65086" w:rsidRDefault="00ED3BA8" w:rsidP="00ED3BA8">
      <w:pPr>
        <w:pStyle w:val="Header"/>
        <w:rPr>
          <w:bCs/>
          <w:noProof w:val="0"/>
          <w:sz w:val="24"/>
          <w:lang w:val="en-US"/>
        </w:rPr>
      </w:pPr>
      <w:bookmarkStart w:id="0" w:name="_GoBack"/>
      <w:bookmarkEnd w:id="0"/>
    </w:p>
    <w:p w14:paraId="66AD3C42" w14:textId="77777777" w:rsidR="00ED3BA8" w:rsidRPr="00B266B0" w:rsidRDefault="00ED3BA8" w:rsidP="00ED3BA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11.7.2.2</w:t>
      </w:r>
    </w:p>
    <w:p w14:paraId="1EEDB0C8" w14:textId="77777777" w:rsidR="00ED3BA8" w:rsidRPr="00B266B0" w:rsidRDefault="00ED3BA8" w:rsidP="00ED3BA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FA3A55A" w14:textId="77777777" w:rsidR="00ED3BA8" w:rsidRDefault="00ED3BA8" w:rsidP="00ED3BA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3011">
        <w:rPr>
          <w:rFonts w:ascii="Arial" w:hAnsi="Arial" w:cs="Arial"/>
          <w:b/>
          <w:bCs/>
          <w:sz w:val="24"/>
        </w:rPr>
        <w:t>Details on</w:t>
      </w:r>
      <w:r w:rsidR="00E95D23">
        <w:rPr>
          <w:rFonts w:ascii="Arial" w:hAnsi="Arial" w:cs="Arial"/>
          <w:b/>
          <w:bCs/>
          <w:sz w:val="24"/>
        </w:rPr>
        <w:t xml:space="preserve"> multiple CG configurations</w:t>
      </w:r>
    </w:p>
    <w:p w14:paraId="640B261D" w14:textId="77777777" w:rsidR="00ED3BA8" w:rsidRPr="00B266B0" w:rsidRDefault="00ED3BA8" w:rsidP="00ED3BA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p>
    <w:p w14:paraId="1AC21E20" w14:textId="77777777" w:rsidR="00ED3BA8" w:rsidRPr="00B266B0" w:rsidRDefault="00ED3BA8" w:rsidP="00ED3BA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40A6135" w14:textId="77777777" w:rsidR="00136DDE" w:rsidRPr="008D5541" w:rsidRDefault="00E86CE5" w:rsidP="00E86CE5">
      <w:pPr>
        <w:pStyle w:val="Heading1"/>
      </w:pPr>
      <w:r>
        <w:t>1</w:t>
      </w:r>
      <w:r w:rsidR="00136DDE" w:rsidRPr="009A695D">
        <w:tab/>
      </w:r>
      <w:r w:rsidR="00136DDE" w:rsidRPr="008D5541">
        <w:t>Introduction</w:t>
      </w:r>
    </w:p>
    <w:p w14:paraId="3D3FEED8" w14:textId="77777777" w:rsidR="00136DDE" w:rsidRDefault="00136DDE" w:rsidP="00136DDE">
      <w:pPr>
        <w:jc w:val="both"/>
      </w:pPr>
      <w:r>
        <w:t xml:space="preserve">In </w:t>
      </w:r>
      <w:r w:rsidRPr="00C049E7">
        <w:t>RAN</w:t>
      </w:r>
      <w:r>
        <w:t xml:space="preserve"> plenary</w:t>
      </w:r>
      <w:r w:rsidRPr="00C049E7">
        <w:t xml:space="preserve"> </w:t>
      </w:r>
      <w:r>
        <w:t>m</w:t>
      </w:r>
      <w:r w:rsidRPr="00C049E7">
        <w:t>eeting #83</w:t>
      </w:r>
      <w:r>
        <w:t xml:space="preserve"> the following TSC topics </w:t>
      </w:r>
      <w:r w:rsidR="00576D91">
        <w:t>were</w:t>
      </w:r>
      <w:r>
        <w:t xml:space="preserve"> agreed to be studied in the </w:t>
      </w:r>
      <w:r w:rsidRPr="00C049E7">
        <w:t>WID</w:t>
      </w:r>
      <w:r>
        <w:t xml:space="preserve"> on “</w:t>
      </w:r>
      <w:r w:rsidRPr="00C049E7">
        <w:t>Support of NR Industrial Internet of Things (IoT)</w:t>
      </w:r>
      <w:r>
        <w:t>”</w:t>
      </w:r>
      <w:r w:rsidR="003078A8">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36DDE" w14:paraId="0A4B3A91" w14:textId="77777777" w:rsidTr="00E17619">
        <w:trPr>
          <w:trHeight w:val="283"/>
        </w:trPr>
        <w:tc>
          <w:tcPr>
            <w:tcW w:w="9616" w:type="dxa"/>
            <w:shd w:val="clear" w:color="auto" w:fill="auto"/>
          </w:tcPr>
          <w:p w14:paraId="58BA9DF9" w14:textId="77777777" w:rsidR="00136DDE" w:rsidRPr="00A17660" w:rsidRDefault="00136DDE" w:rsidP="001725CD">
            <w:pPr>
              <w:pStyle w:val="Doc-title"/>
            </w:pPr>
            <w:r w:rsidRPr="00CB01EB">
              <w:rPr>
                <w:lang w:val="en-US"/>
              </w:rPr>
              <w:t>RP-190728</w:t>
            </w:r>
            <w:r w:rsidRPr="00CB01EB">
              <w:rPr>
                <w:lang w:val="en-US"/>
              </w:rPr>
              <w:tab/>
            </w:r>
          </w:p>
        </w:tc>
      </w:tr>
      <w:tr w:rsidR="00136DDE" w14:paraId="6412D795" w14:textId="77777777" w:rsidTr="00E17619">
        <w:trPr>
          <w:trHeight w:val="3781"/>
        </w:trPr>
        <w:tc>
          <w:tcPr>
            <w:tcW w:w="9616" w:type="dxa"/>
            <w:shd w:val="clear" w:color="auto" w:fill="auto"/>
          </w:tcPr>
          <w:p w14:paraId="03128FBE" w14:textId="77777777" w:rsidR="00136DDE" w:rsidRDefault="00136DDE" w:rsidP="00136DDE">
            <w:pPr>
              <w:numPr>
                <w:ilvl w:val="0"/>
                <w:numId w:val="14"/>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CB01EB">
              <w:rPr>
                <w:lang w:val="en-US"/>
              </w:rPr>
              <w:t xml:space="preserve">(with EUTRA Rel-15 </w:t>
            </w:r>
            <w:proofErr w:type="spellStart"/>
            <w:r w:rsidRPr="00CB01EB">
              <w:rPr>
                <w:lang w:val="en-US"/>
              </w:rPr>
              <w:t>signalling</w:t>
            </w:r>
            <w:proofErr w:type="spellEnd"/>
            <w:r w:rsidRPr="00CB01EB">
              <w:rPr>
                <w:lang w:val="en-US"/>
              </w:rPr>
              <w:t xml:space="preserve"> solution as baseline) for synchronization requirements defined in TS 22.104)</w:t>
            </w:r>
            <w:r>
              <w:t xml:space="preserve"> [RAN2].</w:t>
            </w:r>
          </w:p>
          <w:p w14:paraId="7A210EF0" w14:textId="77777777" w:rsidR="00136DDE" w:rsidRPr="00F6001B" w:rsidRDefault="00136DDE" w:rsidP="00136DDE">
            <w:pPr>
              <w:numPr>
                <w:ilvl w:val="0"/>
                <w:numId w:val="14"/>
              </w:numPr>
              <w:overflowPunct w:val="0"/>
              <w:autoSpaceDE w:val="0"/>
              <w:autoSpaceDN w:val="0"/>
              <w:adjustRightInd w:val="0"/>
              <w:spacing w:after="0"/>
              <w:jc w:val="both"/>
              <w:textAlignment w:val="baseline"/>
              <w:rPr>
                <w:b/>
                <w:lang w:val="en-US"/>
              </w:rPr>
            </w:pPr>
            <w:r w:rsidRPr="00F6001B">
              <w:rPr>
                <w:b/>
              </w:rPr>
              <w:t>Specify</w:t>
            </w:r>
            <w:r w:rsidRPr="00F6001B">
              <w:rPr>
                <w:b/>
                <w:lang w:val="en-US"/>
              </w:rPr>
              <w:t xml:space="preserve"> enhancements to satisfy QoS for wireless Ethernet when using TSC traffic patterns, including </w:t>
            </w:r>
          </w:p>
          <w:p w14:paraId="6146FFC1"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 xml:space="preserve">Support of provisioning, from Core Network to RAN and between RAN nodes (e.g. upon handover), of UE’s TSC traffic pattern related information such as </w:t>
            </w:r>
            <w:r w:rsidRPr="003804B4">
              <w:t>message</w:t>
            </w:r>
            <w:r w:rsidRPr="00CB01EB">
              <w:rPr>
                <w:lang w:val="en-US"/>
              </w:rPr>
              <w:t xml:space="preserve"> periodicity, message size, message arrival time at gNB (DL) and UE (UL) [RAN3].</w:t>
            </w:r>
          </w:p>
          <w:p w14:paraId="7BCE7589" w14:textId="77777777" w:rsidR="00136DDE" w:rsidRPr="00F6001B" w:rsidRDefault="00136DDE" w:rsidP="00136DDE">
            <w:pPr>
              <w:numPr>
                <w:ilvl w:val="1"/>
                <w:numId w:val="14"/>
              </w:numPr>
              <w:overflowPunct w:val="0"/>
              <w:autoSpaceDE w:val="0"/>
              <w:autoSpaceDN w:val="0"/>
              <w:adjustRightInd w:val="0"/>
              <w:spacing w:after="0"/>
              <w:jc w:val="both"/>
              <w:textAlignment w:val="baseline"/>
              <w:rPr>
                <w:b/>
                <w:lang w:val="en-US"/>
              </w:rPr>
            </w:pPr>
            <w:r w:rsidRPr="00F6001B">
              <w:rPr>
                <w:b/>
                <w:lang w:val="en-US"/>
              </w:rPr>
              <w:t>Support for multiple simultaneous active semi-persistent scheduling (SPS) configurations for a given BWP of a UE. [RAN2, RAN1].</w:t>
            </w:r>
          </w:p>
          <w:p w14:paraId="3A801496" w14:textId="77777777" w:rsidR="00136DDE" w:rsidRPr="00F6001B" w:rsidRDefault="00136DDE" w:rsidP="00136DDE">
            <w:pPr>
              <w:numPr>
                <w:ilvl w:val="1"/>
                <w:numId w:val="14"/>
              </w:numPr>
              <w:overflowPunct w:val="0"/>
              <w:autoSpaceDE w:val="0"/>
              <w:autoSpaceDN w:val="0"/>
              <w:adjustRightInd w:val="0"/>
              <w:spacing w:after="0"/>
              <w:jc w:val="both"/>
              <w:textAlignment w:val="baseline"/>
              <w:rPr>
                <w:b/>
                <w:lang w:val="en-US"/>
              </w:rPr>
            </w:pPr>
            <w:r w:rsidRPr="00F6001B">
              <w:rPr>
                <w:b/>
                <w:lang w:val="en-US"/>
              </w:rPr>
              <w:t>Support for shorter SPS periodicities than the existing ones [RAN2, RAN1].</w:t>
            </w:r>
          </w:p>
          <w:p w14:paraId="5EA2963B" w14:textId="77777777" w:rsidR="00136DDE" w:rsidRPr="00597BE6" w:rsidRDefault="00136DDE" w:rsidP="00136DDE">
            <w:pPr>
              <w:numPr>
                <w:ilvl w:val="0"/>
                <w:numId w:val="14"/>
              </w:numPr>
              <w:overflowPunct w:val="0"/>
              <w:autoSpaceDE w:val="0"/>
              <w:autoSpaceDN w:val="0"/>
              <w:adjustRightInd w:val="0"/>
              <w:spacing w:after="0"/>
              <w:jc w:val="both"/>
              <w:textAlignment w:val="baseline"/>
              <w:rPr>
                <w:b/>
                <w:lang w:val="en-US"/>
              </w:rPr>
            </w:pPr>
            <w:r w:rsidRPr="00597BE6">
              <w:rPr>
                <w:b/>
                <w:lang w:val="en-US"/>
              </w:rPr>
              <w:t xml:space="preserve">Address support for </w:t>
            </w:r>
            <w:r w:rsidRPr="00597BE6">
              <w:rPr>
                <w:b/>
              </w:rPr>
              <w:t xml:space="preserve">TSC message periodicities with non-integer multiple of NR supported CG/SPS periodicities, as captured in TR 38.825, section 6.5.2. </w:t>
            </w:r>
            <w:r w:rsidRPr="00597BE6">
              <w:rPr>
                <w:b/>
                <w:lang w:val="en-US"/>
              </w:rPr>
              <w:t>[RAN2, RAN1].</w:t>
            </w:r>
          </w:p>
          <w:p w14:paraId="1E6A4A2D" w14:textId="77777777" w:rsidR="00136DDE" w:rsidRPr="00CB01EB" w:rsidRDefault="00136DDE" w:rsidP="00136DDE">
            <w:pPr>
              <w:numPr>
                <w:ilvl w:val="0"/>
                <w:numId w:val="14"/>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6EAC53AC"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Ethernet header compression solution for LTE to be specified once the design principle for NR is agreed. The impacted LTE specifications to be added latest at RAN#85.</w:t>
            </w:r>
          </w:p>
        </w:tc>
      </w:tr>
    </w:tbl>
    <w:p w14:paraId="41E550C3" w14:textId="77777777" w:rsidR="00E17619" w:rsidRDefault="00E17619" w:rsidP="00E17619">
      <w:pPr>
        <w:pStyle w:val="NormalWeb"/>
        <w:spacing w:before="0" w:beforeAutospacing="0" w:after="0" w:afterAutospacing="0"/>
        <w:rPr>
          <w:sz w:val="20"/>
          <w:szCs w:val="20"/>
          <w:lang w:val="en-US" w:eastAsia="en-US"/>
        </w:rPr>
      </w:pPr>
    </w:p>
    <w:p w14:paraId="15581652" w14:textId="77777777" w:rsidR="00C77822" w:rsidRDefault="00E17619" w:rsidP="00596E71">
      <w:pPr>
        <w:pStyle w:val="NormalWeb"/>
        <w:jc w:val="both"/>
        <w:rPr>
          <w:sz w:val="20"/>
          <w:szCs w:val="20"/>
          <w:lang w:val="en-US" w:eastAsia="en-US"/>
        </w:rPr>
      </w:pPr>
      <w:r>
        <w:rPr>
          <w:sz w:val="20"/>
          <w:szCs w:val="20"/>
          <w:lang w:val="en-US" w:eastAsia="en-US"/>
        </w:rPr>
        <w:t>In R</w:t>
      </w:r>
      <w:r w:rsidR="00C77822" w:rsidRPr="00C77822">
        <w:rPr>
          <w:sz w:val="20"/>
          <w:szCs w:val="20"/>
          <w:lang w:val="en-US" w:eastAsia="en-US"/>
        </w:rPr>
        <w:t>AN2#10</w:t>
      </w:r>
      <w:r>
        <w:rPr>
          <w:sz w:val="20"/>
          <w:szCs w:val="20"/>
          <w:lang w:val="en-US" w:eastAsia="en-US"/>
        </w:rPr>
        <w:t>5bis</w:t>
      </w:r>
      <w:r w:rsidR="00744EC8">
        <w:rPr>
          <w:sz w:val="20"/>
          <w:szCs w:val="20"/>
          <w:lang w:val="en-US" w:eastAsia="en-US"/>
        </w:rPr>
        <w:t xml:space="preserve"> meeting</w:t>
      </w:r>
      <w:r>
        <w:rPr>
          <w:sz w:val="20"/>
          <w:szCs w:val="20"/>
          <w:lang w:val="en-US" w:eastAsia="en-US"/>
        </w:rPr>
        <w:t>, the following agreements were reached</w:t>
      </w:r>
      <w:r w:rsidR="00711386">
        <w:rPr>
          <w:sz w:val="20"/>
          <w:szCs w:val="20"/>
          <w:lang w:val="en-US" w:eastAsia="en-US"/>
        </w:rPr>
        <w:t xml:space="preserve"> [2]</w:t>
      </w:r>
      <w:r w:rsidR="00C77822">
        <w:rPr>
          <w:sz w:val="20"/>
          <w:szCs w:val="20"/>
          <w:lang w:val="en-US" w:eastAsia="en-US"/>
        </w:rPr>
        <w:t>:</w:t>
      </w:r>
    </w:p>
    <w:p w14:paraId="6F5CF438" w14:textId="77777777" w:rsidR="00E17619" w:rsidRDefault="00476A83" w:rsidP="00E17619">
      <w:pPr>
        <w:pStyle w:val="NormalWeb"/>
        <w:jc w:val="center"/>
        <w:rPr>
          <w:sz w:val="20"/>
          <w:szCs w:val="20"/>
          <w:lang w:val="en-US" w:eastAsia="en-US"/>
        </w:rPr>
      </w:pPr>
      <w:r>
        <w:rPr>
          <w:noProof/>
          <w:sz w:val="20"/>
          <w:szCs w:val="20"/>
          <w:lang w:val="en-US" w:eastAsia="en-US"/>
        </w:rPr>
        <mc:AlternateContent>
          <mc:Choice Requires="wps">
            <w:drawing>
              <wp:inline distT="0" distB="0" distL="0" distR="0" wp14:anchorId="508907D4" wp14:editId="33FE21FD">
                <wp:extent cx="5604510" cy="2548890"/>
                <wp:effectExtent l="8255" t="6985" r="6985" b="635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4510" cy="2548890"/>
                        </a:xfrm>
                        <a:prstGeom prst="rect">
                          <a:avLst/>
                        </a:prstGeom>
                        <a:solidFill>
                          <a:srgbClr val="FFFFFF"/>
                        </a:solidFill>
                        <a:ln w="9525">
                          <a:solidFill>
                            <a:srgbClr val="000000"/>
                          </a:solidFill>
                          <a:miter lim="800000"/>
                          <a:headEnd/>
                          <a:tailEnd/>
                        </a:ln>
                      </wps:spPr>
                      <wps:txbx>
                        <w:txbxContent>
                          <w:p w14:paraId="35864D02" w14:textId="77777777" w:rsidR="00B65086" w:rsidRPr="00E17619" w:rsidRDefault="00B65086" w:rsidP="00E17619">
                            <w:pPr>
                              <w:pStyle w:val="Agreement"/>
                              <w:tabs>
                                <w:tab w:val="clear" w:pos="1619"/>
                                <w:tab w:val="num" w:pos="360"/>
                              </w:tabs>
                              <w:ind w:left="360"/>
                            </w:pPr>
                            <w:r w:rsidRPr="00E17619">
                              <w:t>R2 assumes that the maximum number of active SPS configurations for a given BWP of a serving cell in the specification is 8 or 16 (FFS).</w:t>
                            </w:r>
                          </w:p>
                          <w:p w14:paraId="7C451872" w14:textId="77777777" w:rsidR="00B65086" w:rsidRPr="00E17619" w:rsidRDefault="00B65086" w:rsidP="00E17619">
                            <w:pPr>
                              <w:pStyle w:val="Agreement"/>
                              <w:tabs>
                                <w:tab w:val="clear" w:pos="1619"/>
                                <w:tab w:val="num" w:pos="360"/>
                              </w:tabs>
                              <w:ind w:left="360"/>
                            </w:pPr>
                            <w:r w:rsidRPr="00E17619">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1C7BBA3" w14:textId="77777777" w:rsidR="00B65086" w:rsidRPr="00E17619" w:rsidRDefault="00B65086" w:rsidP="00E17619">
                            <w:pPr>
                              <w:pStyle w:val="Agreement"/>
                              <w:tabs>
                                <w:tab w:val="clear" w:pos="1619"/>
                                <w:tab w:val="num" w:pos="360"/>
                              </w:tabs>
                              <w:ind w:left="360"/>
                            </w:pPr>
                            <w:r w:rsidRPr="00E17619">
                              <w:t>Will support “short” SPS periodicities, at least down to 0.5ms</w:t>
                            </w:r>
                          </w:p>
                          <w:p w14:paraId="6676172E" w14:textId="77777777" w:rsidR="00B65086" w:rsidRPr="00E17619" w:rsidRDefault="00B65086" w:rsidP="00E17619">
                            <w:pPr>
                              <w:pStyle w:val="Agreement"/>
                              <w:tabs>
                                <w:tab w:val="clear" w:pos="1619"/>
                                <w:tab w:val="num" w:pos="360"/>
                              </w:tabs>
                              <w:ind w:left="360"/>
                            </w:pPr>
                            <w:r w:rsidRPr="00E17619">
                              <w:t xml:space="preserve">Ask R1 on feasibility, and additionally the feasibility to go down to even lower values, e.g. 2 </w:t>
                            </w:r>
                            <w:proofErr w:type="spellStart"/>
                            <w:r w:rsidRPr="00E17619">
                              <w:t>symb</w:t>
                            </w:r>
                            <w:proofErr w:type="spellEnd"/>
                            <w:r w:rsidRPr="00E17619">
                              <w:t xml:space="preserve">.  </w:t>
                            </w:r>
                          </w:p>
                          <w:p w14:paraId="5B643E0B" w14:textId="77777777" w:rsidR="00B65086" w:rsidRPr="00E17619" w:rsidRDefault="00B65086" w:rsidP="00E17619">
                            <w:pPr>
                              <w:pStyle w:val="Agreement"/>
                              <w:tabs>
                                <w:tab w:val="clear" w:pos="1619"/>
                                <w:tab w:val="num" w:pos="360"/>
                              </w:tabs>
                              <w:ind w:left="360"/>
                            </w:pPr>
                            <w:r w:rsidRPr="00E17619">
                              <w:t xml:space="preserve">R2 assumes that activation/deactivation is done by DCI. </w:t>
                            </w:r>
                          </w:p>
                          <w:p w14:paraId="2FACFFEB" w14:textId="77777777" w:rsidR="00B65086" w:rsidRPr="00E17619" w:rsidRDefault="00B65086" w:rsidP="00E17619">
                            <w:pPr>
                              <w:pStyle w:val="Agreement"/>
                              <w:tabs>
                                <w:tab w:val="clear" w:pos="1619"/>
                                <w:tab w:val="num" w:pos="360"/>
                              </w:tabs>
                              <w:ind w:left="360"/>
                            </w:pPr>
                            <w:r w:rsidRPr="00E17619">
                              <w:t>RAN1 should address activation/deactivation DCIs related with configured grant Type 2 and SPS in the case of multiple configurations</w:t>
                            </w:r>
                          </w:p>
                          <w:p w14:paraId="1AE29EA2" w14:textId="77777777" w:rsidR="00B65086" w:rsidRDefault="00B65086" w:rsidP="00E17619">
                            <w:pPr>
                              <w:pStyle w:val="Agreement"/>
                              <w:tabs>
                                <w:tab w:val="clear" w:pos="1619"/>
                                <w:tab w:val="num" w:pos="360"/>
                              </w:tabs>
                              <w:ind w:left="360"/>
                            </w:pPr>
                            <w:r w:rsidRPr="00E17619">
                              <w:t>When multiple UL CG or DL SPS configurations is configured, an offset for each configuration is needed for the calculation of the HARQ process ID</w:t>
                            </w:r>
                          </w:p>
                          <w:p w14:paraId="02EC728A" w14:textId="77777777" w:rsidR="00B65086" w:rsidRDefault="00B65086"/>
                        </w:txbxContent>
                      </wps:txbx>
                      <wps:bodyPr rot="0" vert="horz" wrap="square" lIns="91440" tIns="45720" rIns="91440" bIns="45720" anchor="t" anchorCtr="0" upright="1">
                        <a:noAutofit/>
                      </wps:bodyPr>
                    </wps:wsp>
                  </a:graphicData>
                </a:graphic>
              </wp:inline>
            </w:drawing>
          </mc:Choice>
          <mc:Fallback>
            <w:pict>
              <v:shapetype w14:anchorId="508907D4" id="_x0000_t202" coordsize="21600,21600" o:spt="202" path="m,l,21600r21600,l21600,xe">
                <v:stroke joinstyle="miter"/>
                <v:path gradientshapeok="t" o:connecttype="rect"/>
              </v:shapetype>
              <v:shape id="Text Box 4" o:spid="_x0000_s1026" type="#_x0000_t202" style="width:441.3pt;height:20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">
                <v:textbox>
                  <w:txbxContent>
                    <w:p w14:paraId="35864D02" w14:textId="77777777" w:rsidR="00B65086" w:rsidRPr="00E17619" w:rsidRDefault="00B65086" w:rsidP="00E17619">
                      <w:pPr>
                        <w:pStyle w:val="Agreement"/>
                        <w:tabs>
                          <w:tab w:val="clear" w:pos="1619"/>
                          <w:tab w:val="num" w:pos="360"/>
                        </w:tabs>
                        <w:ind w:left="360"/>
                      </w:pPr>
                      <w:r w:rsidRPr="00E17619">
                        <w:t>R2 assumes that the maximum number of active SPS configurations for a given BWP of a serving cell in the specification is 8 or 16 (FFS).</w:t>
                      </w:r>
                    </w:p>
                    <w:p w14:paraId="7C451872" w14:textId="77777777" w:rsidR="00B65086" w:rsidRPr="00E17619" w:rsidRDefault="00B65086" w:rsidP="00E17619">
                      <w:pPr>
                        <w:pStyle w:val="Agreement"/>
                        <w:tabs>
                          <w:tab w:val="clear" w:pos="1619"/>
                          <w:tab w:val="num" w:pos="360"/>
                        </w:tabs>
                        <w:ind w:left="360"/>
                      </w:pPr>
                      <w:r w:rsidRPr="00E17619">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1C7BBA3" w14:textId="77777777" w:rsidR="00B65086" w:rsidRPr="00E17619" w:rsidRDefault="00B65086" w:rsidP="00E17619">
                      <w:pPr>
                        <w:pStyle w:val="Agreement"/>
                        <w:tabs>
                          <w:tab w:val="clear" w:pos="1619"/>
                          <w:tab w:val="num" w:pos="360"/>
                        </w:tabs>
                        <w:ind w:left="360"/>
                      </w:pPr>
                      <w:r w:rsidRPr="00E17619">
                        <w:t>Will support “short” SPS periodicities, at least down to 0.5ms</w:t>
                      </w:r>
                    </w:p>
                    <w:p w14:paraId="6676172E" w14:textId="77777777" w:rsidR="00B65086" w:rsidRPr="00E17619" w:rsidRDefault="00B65086" w:rsidP="00E17619">
                      <w:pPr>
                        <w:pStyle w:val="Agreement"/>
                        <w:tabs>
                          <w:tab w:val="clear" w:pos="1619"/>
                          <w:tab w:val="num" w:pos="360"/>
                        </w:tabs>
                        <w:ind w:left="360"/>
                      </w:pPr>
                      <w:r w:rsidRPr="00E17619">
                        <w:t xml:space="preserve">Ask R1 on feasibility, and additionally the feasibility to go down to even lower values, e.g. 2 </w:t>
                      </w:r>
                      <w:proofErr w:type="spellStart"/>
                      <w:r w:rsidRPr="00E17619">
                        <w:t>symb</w:t>
                      </w:r>
                      <w:proofErr w:type="spellEnd"/>
                      <w:r w:rsidRPr="00E17619">
                        <w:t xml:space="preserve">.  </w:t>
                      </w:r>
                    </w:p>
                    <w:p w14:paraId="5B643E0B" w14:textId="77777777" w:rsidR="00B65086" w:rsidRPr="00E17619" w:rsidRDefault="00B65086" w:rsidP="00E17619">
                      <w:pPr>
                        <w:pStyle w:val="Agreement"/>
                        <w:tabs>
                          <w:tab w:val="clear" w:pos="1619"/>
                          <w:tab w:val="num" w:pos="360"/>
                        </w:tabs>
                        <w:ind w:left="360"/>
                      </w:pPr>
                      <w:r w:rsidRPr="00E17619">
                        <w:t xml:space="preserve">R2 assumes that activation/deactivation is done by DCI. </w:t>
                      </w:r>
                    </w:p>
                    <w:p w14:paraId="2FACFFEB" w14:textId="77777777" w:rsidR="00B65086" w:rsidRPr="00E17619" w:rsidRDefault="00B65086" w:rsidP="00E17619">
                      <w:pPr>
                        <w:pStyle w:val="Agreement"/>
                        <w:tabs>
                          <w:tab w:val="clear" w:pos="1619"/>
                          <w:tab w:val="num" w:pos="360"/>
                        </w:tabs>
                        <w:ind w:left="360"/>
                      </w:pPr>
                      <w:r w:rsidRPr="00E17619">
                        <w:t>RAN1 should address activation/deactivation DCIs related with configured grant Type 2 and SPS in the case of multiple configurations</w:t>
                      </w:r>
                    </w:p>
                    <w:p w14:paraId="1AE29EA2" w14:textId="77777777" w:rsidR="00B65086" w:rsidRDefault="00B65086" w:rsidP="00E17619">
                      <w:pPr>
                        <w:pStyle w:val="Agreement"/>
                        <w:tabs>
                          <w:tab w:val="clear" w:pos="1619"/>
                          <w:tab w:val="num" w:pos="360"/>
                        </w:tabs>
                        <w:ind w:left="360"/>
                      </w:pPr>
                      <w:r w:rsidRPr="00E17619">
                        <w:t>When multiple UL CG or DL SPS configurations is configured, an offset for each configuration is needed for the calculation of the HARQ process ID</w:t>
                      </w:r>
                    </w:p>
                    <w:p w14:paraId="02EC728A" w14:textId="77777777" w:rsidR="00B65086" w:rsidRDefault="00B65086"/>
                  </w:txbxContent>
                </v:textbox>
                <w10:anchorlock/>
              </v:shape>
            </w:pict>
          </mc:Fallback>
        </mc:AlternateContent>
      </w:r>
    </w:p>
    <w:p w14:paraId="5C11FD88" w14:textId="77777777" w:rsidR="00E17619" w:rsidRDefault="00E17619" w:rsidP="00C77822">
      <w:pPr>
        <w:pStyle w:val="NormalWeb"/>
        <w:rPr>
          <w:sz w:val="20"/>
          <w:szCs w:val="20"/>
          <w:lang w:val="en-US" w:eastAsia="en-US"/>
        </w:rPr>
      </w:pPr>
    </w:p>
    <w:p w14:paraId="3938278B" w14:textId="77777777" w:rsidR="00E17619" w:rsidRDefault="00E17619" w:rsidP="00596E71">
      <w:pPr>
        <w:pStyle w:val="NormalWeb"/>
        <w:jc w:val="both"/>
        <w:rPr>
          <w:sz w:val="20"/>
          <w:szCs w:val="20"/>
          <w:lang w:val="en-US" w:eastAsia="en-US"/>
        </w:rPr>
      </w:pPr>
      <w:r>
        <w:rPr>
          <w:sz w:val="20"/>
          <w:szCs w:val="20"/>
          <w:lang w:val="en-US" w:eastAsia="en-US"/>
        </w:rPr>
        <w:lastRenderedPageBreak/>
        <w:t xml:space="preserve">Based on the above, </w:t>
      </w:r>
      <w:proofErr w:type="gramStart"/>
      <w:r>
        <w:rPr>
          <w:sz w:val="20"/>
          <w:szCs w:val="20"/>
          <w:lang w:val="en-US" w:eastAsia="en-US"/>
        </w:rPr>
        <w:t>an</w:t>
      </w:r>
      <w:proofErr w:type="gramEnd"/>
      <w:r>
        <w:rPr>
          <w:sz w:val="20"/>
          <w:szCs w:val="20"/>
          <w:lang w:val="en-US" w:eastAsia="en-US"/>
        </w:rPr>
        <w:t xml:space="preserve"> LS </w:t>
      </w:r>
      <w:r w:rsidR="00711386">
        <w:rPr>
          <w:sz w:val="20"/>
          <w:szCs w:val="20"/>
          <w:lang w:val="en-US" w:eastAsia="en-US"/>
        </w:rPr>
        <w:t>[2]</w:t>
      </w:r>
      <w:r w:rsidR="002D7727">
        <w:rPr>
          <w:sz w:val="20"/>
          <w:szCs w:val="20"/>
          <w:lang w:val="en-US" w:eastAsia="en-US"/>
        </w:rPr>
        <w:t xml:space="preserve"> </w:t>
      </w:r>
      <w:r>
        <w:rPr>
          <w:sz w:val="20"/>
          <w:szCs w:val="20"/>
          <w:lang w:val="en-US" w:eastAsia="en-US"/>
        </w:rPr>
        <w:t>was issued to RAN1 with three questions, including:</w:t>
      </w:r>
    </w:p>
    <w:p w14:paraId="3A51D0DE" w14:textId="77777777" w:rsidR="00E17619" w:rsidRDefault="00476A83" w:rsidP="00E17619">
      <w:pPr>
        <w:pStyle w:val="NormalWeb"/>
        <w:jc w:val="center"/>
        <w:rPr>
          <w:sz w:val="20"/>
          <w:szCs w:val="20"/>
          <w:lang w:val="en-US" w:eastAsia="en-US"/>
        </w:rPr>
      </w:pPr>
      <w:r>
        <w:rPr>
          <w:noProof/>
          <w:sz w:val="20"/>
          <w:szCs w:val="20"/>
          <w:lang w:val="en-US" w:eastAsia="en-US"/>
        </w:rPr>
        <mc:AlternateContent>
          <mc:Choice Requires="wps">
            <w:drawing>
              <wp:inline distT="0" distB="0" distL="0" distR="0" wp14:anchorId="376AB5CF" wp14:editId="13CDAA4E">
                <wp:extent cx="5962650" cy="1003300"/>
                <wp:effectExtent l="8890" t="13970" r="1016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003300"/>
                        </a:xfrm>
                        <a:prstGeom prst="rect">
                          <a:avLst/>
                        </a:prstGeom>
                        <a:solidFill>
                          <a:srgbClr val="FFFFFF"/>
                        </a:solidFill>
                        <a:ln w="9525">
                          <a:solidFill>
                            <a:srgbClr val="000000"/>
                          </a:solidFill>
                          <a:miter lim="800000"/>
                          <a:headEnd/>
                          <a:tailEnd/>
                        </a:ln>
                      </wps:spPr>
                      <wps:txbx>
                        <w:txbxContent>
                          <w:p w14:paraId="540CB642" w14:textId="77777777" w:rsidR="00B65086" w:rsidRDefault="00B65086" w:rsidP="00E17619">
                            <w:pPr>
                              <w:jc w:val="both"/>
                              <w:rPr>
                                <w:rFonts w:ascii="Arial" w:eastAsia="MS Mincho" w:hAnsi="Arial" w:cs="Arial"/>
                                <w:lang w:eastAsia="ja-JP"/>
                              </w:rPr>
                            </w:pPr>
                            <w:r>
                              <w:rPr>
                                <w:rFonts w:ascii="Arial" w:eastAsia="MS Mincho" w:hAnsi="Arial" w:cs="Arial"/>
                                <w:lang w:eastAsia="ja-JP"/>
                              </w:rPr>
                              <w:t xml:space="preserve">RAN2 assumes that activation/deactivation of multiple SPS/CG configurations is done by DCI. </w:t>
                            </w:r>
                            <w:r>
                              <w:rPr>
                                <w:rFonts w:ascii="Arial" w:hAnsi="Arial" w:cs="Arial"/>
                                <w:lang w:eastAsia="zh-CN"/>
                              </w:rPr>
                              <w:t>T</w:t>
                            </w:r>
                            <w:r>
                              <w:rPr>
                                <w:rFonts w:ascii="Arial" w:eastAsia="MS Mincho" w:hAnsi="Arial" w:cs="Arial"/>
                                <w:lang w:eastAsia="ja-JP"/>
                              </w:rPr>
                              <w:t>here is no consensus in RAN2 on activation/deactivation of multiple SPS/CG configurations to be done by one DCI for multiple configuration</w:t>
                            </w:r>
                            <w:r>
                              <w:rPr>
                                <w:rFonts w:ascii="Arial" w:eastAsia="MS Mincho" w:hAnsi="Arial" w:cs="Arial"/>
                                <w:lang w:val="en-US" w:eastAsia="ja-JP"/>
                              </w:rPr>
                              <w:t>s</w:t>
                            </w:r>
                            <w:r>
                              <w:rPr>
                                <w:rFonts w:ascii="Arial" w:eastAsia="MS Mincho" w:hAnsi="Arial" w:cs="Arial"/>
                                <w:lang w:eastAsia="ja-JP"/>
                              </w:rPr>
                              <w:t xml:space="preserve"> or by one DCI per configuration (as in LTE rel-15).</w:t>
                            </w:r>
                          </w:p>
                          <w:p w14:paraId="06B8F585" w14:textId="77777777" w:rsidR="00B65086" w:rsidRPr="00E17619" w:rsidRDefault="00B65086" w:rsidP="00E17619">
                            <w:pPr>
                              <w:jc w:val="both"/>
                              <w:rPr>
                                <w:rFonts w:ascii="Arial" w:eastAsia="MS Mincho" w:hAnsi="Arial" w:cs="Arial"/>
                                <w:lang w:eastAsia="ja-JP"/>
                              </w:rPr>
                            </w:pPr>
                            <w:r>
                              <w:rPr>
                                <w:rFonts w:ascii="Arial" w:eastAsia="MS Mincho" w:hAnsi="Arial" w:cs="Arial"/>
                                <w:b/>
                                <w:lang w:eastAsia="ja-JP"/>
                              </w:rPr>
                              <w:t>Q3</w:t>
                            </w:r>
                            <w:r>
                              <w:rPr>
                                <w:rFonts w:ascii="Arial" w:eastAsia="MS Mincho" w:hAnsi="Arial" w:cs="Arial"/>
                                <w:lang w:eastAsia="ja-JP"/>
                              </w:rPr>
                              <w:t xml:space="preserve">: RAN2 would like to kindly ask RAN1 the feasibility of activation/deactivation of multiple SPS/CG configurations via DCI signalling. </w:t>
                            </w:r>
                          </w:p>
                        </w:txbxContent>
                      </wps:txbx>
                      <wps:bodyPr rot="0" vert="horz" wrap="square" lIns="91440" tIns="45720" rIns="91440" bIns="45720" anchor="t" anchorCtr="0" upright="1">
                        <a:noAutofit/>
                      </wps:bodyPr>
                    </wps:wsp>
                  </a:graphicData>
                </a:graphic>
              </wp:inline>
            </w:drawing>
          </mc:Choice>
          <mc:Fallback>
            <w:pict>
              <v:shape w14:anchorId="376AB5CF" id="Text Box 2" o:spid="_x0000_s1027" type="#_x0000_t202" style="width:469.5pt;height: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">
                <v:textbox>
                  <w:txbxContent>
                    <w:p w14:paraId="540CB642" w14:textId="77777777" w:rsidR="00B65086" w:rsidRDefault="00B65086" w:rsidP="00E17619">
                      <w:pPr>
                        <w:jc w:val="both"/>
                        <w:rPr>
                          <w:rFonts w:ascii="Arial" w:eastAsia="MS Mincho" w:hAnsi="Arial" w:cs="Arial"/>
                          <w:lang w:eastAsia="ja-JP"/>
                        </w:rPr>
                      </w:pPr>
                      <w:r>
                        <w:rPr>
                          <w:rFonts w:ascii="Arial" w:eastAsia="MS Mincho" w:hAnsi="Arial" w:cs="Arial"/>
                          <w:lang w:eastAsia="ja-JP"/>
                        </w:rPr>
                        <w:t xml:space="preserve">RAN2 assumes that activation/deactivation of multiple SPS/CG configurations is done by DCI. </w:t>
                      </w:r>
                      <w:r>
                        <w:rPr>
                          <w:rFonts w:ascii="Arial" w:hAnsi="Arial" w:cs="Arial"/>
                          <w:lang w:eastAsia="zh-CN"/>
                        </w:rPr>
                        <w:t>T</w:t>
                      </w:r>
                      <w:r>
                        <w:rPr>
                          <w:rFonts w:ascii="Arial" w:eastAsia="MS Mincho" w:hAnsi="Arial" w:cs="Arial"/>
                          <w:lang w:eastAsia="ja-JP"/>
                        </w:rPr>
                        <w:t>here is no consensus in RAN2 on activation/deactivation of multiple SPS/CG configurations to be done by one DCI for multiple configuration</w:t>
                      </w:r>
                      <w:r>
                        <w:rPr>
                          <w:rFonts w:ascii="Arial" w:eastAsia="MS Mincho" w:hAnsi="Arial" w:cs="Arial"/>
                          <w:lang w:val="en-US" w:eastAsia="ja-JP"/>
                        </w:rPr>
                        <w:t>s</w:t>
                      </w:r>
                      <w:r>
                        <w:rPr>
                          <w:rFonts w:ascii="Arial" w:eastAsia="MS Mincho" w:hAnsi="Arial" w:cs="Arial"/>
                          <w:lang w:eastAsia="ja-JP"/>
                        </w:rPr>
                        <w:t xml:space="preserve"> or by one DCI per configuration (as in LTE rel-15).</w:t>
                      </w:r>
                    </w:p>
                    <w:p w14:paraId="06B8F585" w14:textId="77777777" w:rsidR="00B65086" w:rsidRPr="00E17619" w:rsidRDefault="00B65086" w:rsidP="00E17619">
                      <w:pPr>
                        <w:jc w:val="both"/>
                        <w:rPr>
                          <w:rFonts w:ascii="Arial" w:eastAsia="MS Mincho" w:hAnsi="Arial" w:cs="Arial"/>
                          <w:lang w:eastAsia="ja-JP"/>
                        </w:rPr>
                      </w:pPr>
                      <w:r>
                        <w:rPr>
                          <w:rFonts w:ascii="Arial" w:eastAsia="MS Mincho" w:hAnsi="Arial" w:cs="Arial"/>
                          <w:b/>
                          <w:lang w:eastAsia="ja-JP"/>
                        </w:rPr>
                        <w:t>Q3</w:t>
                      </w:r>
                      <w:r>
                        <w:rPr>
                          <w:rFonts w:ascii="Arial" w:eastAsia="MS Mincho" w:hAnsi="Arial" w:cs="Arial"/>
                          <w:lang w:eastAsia="ja-JP"/>
                        </w:rPr>
                        <w:t xml:space="preserve">: RAN2 would like to kindly ask RAN1 the feasibility of activation/deactivation of multiple SPS/CG configurations via DCI signalling. </w:t>
                      </w:r>
                    </w:p>
                  </w:txbxContent>
                </v:textbox>
                <w10:anchorlock/>
              </v:shape>
            </w:pict>
          </mc:Fallback>
        </mc:AlternateContent>
      </w:r>
    </w:p>
    <w:p w14:paraId="6FC6B886" w14:textId="77777777" w:rsidR="00471D1A" w:rsidRPr="00471D1A" w:rsidRDefault="00471D1A" w:rsidP="00596E71">
      <w:pPr>
        <w:pStyle w:val="NormalWeb"/>
        <w:jc w:val="both"/>
        <w:rPr>
          <w:sz w:val="20"/>
          <w:szCs w:val="20"/>
          <w:lang w:val="en-US" w:eastAsia="en-US"/>
        </w:rPr>
      </w:pPr>
      <w:r w:rsidRPr="00471D1A">
        <w:rPr>
          <w:sz w:val="20"/>
          <w:szCs w:val="20"/>
          <w:lang w:val="en-US" w:eastAsia="en-US"/>
        </w:rPr>
        <w:t xml:space="preserve">This led to the following reply </w:t>
      </w:r>
      <w:r>
        <w:rPr>
          <w:sz w:val="20"/>
          <w:szCs w:val="20"/>
          <w:lang w:val="en-US" w:eastAsia="en-US"/>
        </w:rPr>
        <w:t>from RAN1 in RAN1#97</w:t>
      </w:r>
      <w:r w:rsidR="00711386">
        <w:rPr>
          <w:sz w:val="20"/>
          <w:szCs w:val="20"/>
          <w:lang w:val="en-US" w:eastAsia="en-US"/>
        </w:rPr>
        <w:t xml:space="preserve"> [3]</w:t>
      </w:r>
      <w:r>
        <w:rPr>
          <w:sz w:val="20"/>
          <w:szCs w:val="20"/>
          <w:lang w:val="en-US"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3"/>
      </w:tblGrid>
      <w:tr w:rsidR="00471D1A" w:rsidRPr="00471D1A" w14:paraId="46C5438E" w14:textId="77777777" w:rsidTr="001C46FF">
        <w:trPr>
          <w:jc w:val="center"/>
        </w:trPr>
        <w:tc>
          <w:tcPr>
            <w:tcW w:w="9323" w:type="dxa"/>
            <w:tcBorders>
              <w:top w:val="single" w:sz="4" w:space="0" w:color="auto"/>
              <w:left w:val="single" w:sz="4" w:space="0" w:color="auto"/>
              <w:bottom w:val="single" w:sz="4" w:space="0" w:color="auto"/>
              <w:right w:val="single" w:sz="4" w:space="0" w:color="auto"/>
            </w:tcBorders>
          </w:tcPr>
          <w:p w14:paraId="35A1F1C1" w14:textId="77777777" w:rsidR="00471D1A" w:rsidRDefault="00471D1A">
            <w:pPr>
              <w:jc w:val="both"/>
              <w:rPr>
                <w:rFonts w:ascii="Arial" w:eastAsia="Malgun Gothic" w:hAnsi="Arial" w:cs="Arial"/>
                <w:iCs/>
                <w:lang w:eastAsia="ko-KR"/>
              </w:rPr>
            </w:pPr>
            <w:r>
              <w:rPr>
                <w:rFonts w:ascii="Arial" w:hAnsi="Arial" w:cs="Arial"/>
                <w:b/>
                <w:iCs/>
                <w:lang w:eastAsia="ko-KR"/>
              </w:rPr>
              <w:t>Answer to Q3:</w:t>
            </w:r>
            <w:r>
              <w:rPr>
                <w:rFonts w:ascii="Arial" w:hAnsi="Arial" w:cs="Arial"/>
                <w:iCs/>
                <w:lang w:eastAsia="ko-KR"/>
              </w:rPr>
              <w:t xml:space="preserve"> RAN1 would like to inform RAN2 about following agreements made in RAN1#96bis. </w:t>
            </w:r>
          </w:p>
          <w:p w14:paraId="20C4435F" w14:textId="77777777" w:rsidR="00471D1A" w:rsidRDefault="00471D1A">
            <w:pPr>
              <w:rPr>
                <w:rFonts w:ascii="Times" w:eastAsia="Batang" w:hAnsi="Times"/>
              </w:rPr>
            </w:pPr>
            <w:r>
              <w:rPr>
                <w:rFonts w:ascii="Times" w:eastAsia="Batang" w:hAnsi="Times"/>
                <w:highlight w:val="green"/>
              </w:rPr>
              <w:t>Agreements</w:t>
            </w:r>
            <w:r>
              <w:rPr>
                <w:rFonts w:ascii="Times" w:eastAsia="Batang" w:hAnsi="Times"/>
              </w:rPr>
              <w:t>:</w:t>
            </w:r>
          </w:p>
          <w:p w14:paraId="24594737" w14:textId="77777777" w:rsidR="00471D1A" w:rsidRDefault="00471D1A" w:rsidP="00471D1A">
            <w:pPr>
              <w:numPr>
                <w:ilvl w:val="0"/>
                <w:numId w:val="32"/>
              </w:numPr>
              <w:spacing w:after="0" w:line="120" w:lineRule="atLeast"/>
              <w:rPr>
                <w:rFonts w:eastAsia="Yu Mincho"/>
                <w:lang w:eastAsia="ja-JP"/>
              </w:rPr>
            </w:pPr>
            <w:r>
              <w:rPr>
                <w:rFonts w:eastAsia="Yu Mincho"/>
                <w:lang w:eastAsia="ja-JP"/>
              </w:rPr>
              <w:t>Support separate activation for different configured grant Type 2 configurations for a given BWP of a serving cell.</w:t>
            </w:r>
          </w:p>
          <w:p w14:paraId="100DC933" w14:textId="77777777" w:rsidR="00471D1A" w:rsidRDefault="00471D1A" w:rsidP="00471D1A">
            <w:pPr>
              <w:numPr>
                <w:ilvl w:val="1"/>
                <w:numId w:val="32"/>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configured grant Type 2 configurations</w:t>
            </w:r>
          </w:p>
          <w:p w14:paraId="7BEC5030" w14:textId="77777777" w:rsidR="00471D1A" w:rsidRDefault="00471D1A" w:rsidP="00471D1A">
            <w:pPr>
              <w:numPr>
                <w:ilvl w:val="0"/>
                <w:numId w:val="32"/>
              </w:numPr>
              <w:spacing w:after="0" w:line="120" w:lineRule="atLeast"/>
              <w:rPr>
                <w:rFonts w:eastAsia="Yu Mincho"/>
                <w:lang w:eastAsia="ja-JP"/>
              </w:rPr>
            </w:pPr>
            <w:r>
              <w:rPr>
                <w:rFonts w:eastAsia="Yu Mincho"/>
                <w:lang w:eastAsia="ja-JP"/>
              </w:rPr>
              <w:t>Support separate release for different configured grant Type 2 configurations for a given BWP of a serving cell.</w:t>
            </w:r>
          </w:p>
          <w:p w14:paraId="33CD3727" w14:textId="77777777" w:rsidR="00471D1A" w:rsidRDefault="00471D1A" w:rsidP="00471D1A">
            <w:pPr>
              <w:numPr>
                <w:ilvl w:val="1"/>
                <w:numId w:val="32"/>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configured grant Type 2 configurations </w:t>
            </w:r>
          </w:p>
          <w:p w14:paraId="62C9946E" w14:textId="77777777" w:rsidR="00471D1A" w:rsidRDefault="00471D1A">
            <w:pPr>
              <w:rPr>
                <w:rFonts w:eastAsia="Malgun Gothic"/>
                <w:b/>
                <w:lang w:eastAsia="x-none"/>
              </w:rPr>
            </w:pPr>
            <w:r>
              <w:rPr>
                <w:highlight w:val="green"/>
                <w:lang w:eastAsia="x-none"/>
              </w:rPr>
              <w:t>Agreements</w:t>
            </w:r>
            <w:r>
              <w:rPr>
                <w:b/>
                <w:lang w:eastAsia="x-none"/>
              </w:rPr>
              <w:t>:</w:t>
            </w:r>
          </w:p>
          <w:p w14:paraId="6A5021D1" w14:textId="77777777" w:rsidR="00471D1A" w:rsidRDefault="00471D1A" w:rsidP="00471D1A">
            <w:pPr>
              <w:numPr>
                <w:ilvl w:val="0"/>
                <w:numId w:val="32"/>
              </w:numPr>
              <w:spacing w:after="0" w:line="120" w:lineRule="atLeast"/>
              <w:rPr>
                <w:rFonts w:eastAsia="Yu Mincho"/>
                <w:lang w:eastAsia="ja-JP"/>
              </w:rPr>
            </w:pPr>
            <w:r>
              <w:rPr>
                <w:rFonts w:eastAsia="Yu Mincho"/>
                <w:lang w:eastAsia="ja-JP"/>
              </w:rPr>
              <w:t>Support separate activation for different DL SPS configurations for a given BWP of a serving cell.</w:t>
            </w:r>
          </w:p>
          <w:p w14:paraId="1F2E314F" w14:textId="77777777" w:rsidR="00471D1A" w:rsidRDefault="00471D1A" w:rsidP="00471D1A">
            <w:pPr>
              <w:numPr>
                <w:ilvl w:val="1"/>
                <w:numId w:val="32"/>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activation in a DCI for two or more DL SPS configurations</w:t>
            </w:r>
          </w:p>
          <w:p w14:paraId="4A266A22" w14:textId="77777777" w:rsidR="00471D1A" w:rsidRDefault="00471D1A" w:rsidP="00471D1A">
            <w:pPr>
              <w:numPr>
                <w:ilvl w:val="0"/>
                <w:numId w:val="32"/>
              </w:numPr>
              <w:spacing w:after="0" w:line="120" w:lineRule="atLeast"/>
              <w:rPr>
                <w:rFonts w:eastAsia="Yu Mincho"/>
                <w:lang w:eastAsia="ja-JP"/>
              </w:rPr>
            </w:pPr>
            <w:r>
              <w:rPr>
                <w:rFonts w:eastAsia="Yu Mincho"/>
                <w:lang w:eastAsia="ja-JP"/>
              </w:rPr>
              <w:t>Support separate release for different DL SPS configurations for a given BWP of a serving cell.</w:t>
            </w:r>
          </w:p>
          <w:p w14:paraId="3EC26A4D" w14:textId="77777777" w:rsidR="00471D1A" w:rsidRDefault="00471D1A" w:rsidP="00471D1A">
            <w:pPr>
              <w:numPr>
                <w:ilvl w:val="1"/>
                <w:numId w:val="32"/>
              </w:numPr>
              <w:spacing w:after="0" w:line="120" w:lineRule="atLeast"/>
              <w:rPr>
                <w:rFonts w:eastAsia="Yu Mincho"/>
                <w:lang w:eastAsia="ja-JP"/>
              </w:rPr>
            </w:pPr>
            <w:r>
              <w:rPr>
                <w:rFonts w:eastAsia="Yu Mincho"/>
                <w:lang w:eastAsia="ja-JP"/>
              </w:rPr>
              <w:t xml:space="preserve">FFS </w:t>
            </w:r>
            <w:proofErr w:type="gramStart"/>
            <w:r>
              <w:rPr>
                <w:rFonts w:eastAsia="Yu Mincho"/>
                <w:lang w:eastAsia="ja-JP"/>
              </w:rPr>
              <w:t>whether or not</w:t>
            </w:r>
            <w:proofErr w:type="gramEnd"/>
            <w:r>
              <w:rPr>
                <w:rFonts w:eastAsia="Yu Mincho"/>
                <w:lang w:eastAsia="ja-JP"/>
              </w:rPr>
              <w:t xml:space="preserve"> to support joint release in a DCI for two or more DL SPS configurations </w:t>
            </w:r>
          </w:p>
          <w:p w14:paraId="4374DE8B" w14:textId="77777777" w:rsidR="00471D1A" w:rsidRDefault="00471D1A">
            <w:pPr>
              <w:jc w:val="both"/>
              <w:rPr>
                <w:rFonts w:ascii="Arial" w:eastAsia="Malgun Gothic" w:hAnsi="Arial" w:cs="Arial"/>
                <w:iCs/>
                <w:lang w:eastAsia="ko-KR"/>
              </w:rPr>
            </w:pPr>
          </w:p>
          <w:p w14:paraId="758A5AC7" w14:textId="77777777" w:rsidR="00471D1A" w:rsidRDefault="00471D1A">
            <w:pPr>
              <w:jc w:val="both"/>
              <w:rPr>
                <w:rFonts w:ascii="Arial" w:hAnsi="Arial" w:cs="Arial"/>
                <w:iCs/>
                <w:lang w:eastAsia="ko-KR"/>
              </w:rPr>
            </w:pPr>
            <w:r>
              <w:rPr>
                <w:rFonts w:ascii="Arial" w:hAnsi="Arial" w:cs="Arial"/>
                <w:iCs/>
                <w:lang w:eastAsia="ko-KR"/>
              </w:rPr>
              <w:t xml:space="preserve">In addition, in RAN1#97, the joint release of multiple Type 2 CG configurations by a single DCI signalling was discussed and the following agreement was made. </w:t>
            </w:r>
          </w:p>
          <w:p w14:paraId="57C96DCA" w14:textId="77777777" w:rsidR="00471D1A" w:rsidRDefault="00471D1A">
            <w:pPr>
              <w:rPr>
                <w:rFonts w:ascii="Times" w:eastAsia="Batang" w:hAnsi="Times"/>
                <w:b/>
              </w:rPr>
            </w:pPr>
            <w:r>
              <w:rPr>
                <w:rFonts w:ascii="Times" w:eastAsia="Batang" w:hAnsi="Times"/>
                <w:highlight w:val="green"/>
              </w:rPr>
              <w:t>Agreements</w:t>
            </w:r>
            <w:r>
              <w:rPr>
                <w:rFonts w:ascii="Times" w:eastAsia="Batang" w:hAnsi="Times"/>
                <w:b/>
              </w:rPr>
              <w:t>:</w:t>
            </w:r>
          </w:p>
          <w:p w14:paraId="6585D4FE" w14:textId="77777777" w:rsidR="00471D1A" w:rsidRDefault="00471D1A" w:rsidP="00471D1A">
            <w:pPr>
              <w:widowControl w:val="0"/>
              <w:numPr>
                <w:ilvl w:val="0"/>
                <w:numId w:val="33"/>
              </w:numPr>
              <w:spacing w:afterLines="50" w:after="120"/>
              <w:jc w:val="both"/>
              <w:rPr>
                <w:rFonts w:eastAsia="Yu Mincho"/>
                <w:lang w:eastAsia="ja-JP"/>
              </w:rPr>
            </w:pPr>
            <w:r>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Pr>
                <w:rFonts w:eastAsia="Batang"/>
                <w:lang w:eastAsia="x-none"/>
              </w:rPr>
              <w:t xml:space="preserve">DCI size is not impacted by adopting joint release. </w:t>
            </w:r>
          </w:p>
          <w:p w14:paraId="5A4902B7" w14:textId="77777777" w:rsidR="00471D1A" w:rsidRDefault="00471D1A" w:rsidP="00471D1A">
            <w:pPr>
              <w:widowControl w:val="0"/>
              <w:numPr>
                <w:ilvl w:val="1"/>
                <w:numId w:val="33"/>
              </w:numPr>
              <w:spacing w:afterLines="50" w:after="120"/>
              <w:jc w:val="both"/>
              <w:rPr>
                <w:rFonts w:eastAsia="Yu Mincho"/>
                <w:lang w:eastAsia="ja-JP"/>
              </w:rPr>
            </w:pPr>
            <w:r>
              <w:rPr>
                <w:rFonts w:eastAsia="Batang"/>
                <w:lang w:eastAsia="x-none"/>
              </w:rPr>
              <w:t xml:space="preserve">FFS details. </w:t>
            </w:r>
          </w:p>
          <w:p w14:paraId="3DFA1CA5" w14:textId="77777777" w:rsidR="00471D1A" w:rsidRDefault="00471D1A">
            <w:pPr>
              <w:jc w:val="both"/>
              <w:rPr>
                <w:rFonts w:ascii="Arial" w:eastAsia="Malgun Gothic" w:hAnsi="Arial" w:cs="Arial"/>
                <w:iCs/>
                <w:lang w:eastAsia="ko-KR"/>
              </w:rPr>
            </w:pPr>
          </w:p>
          <w:p w14:paraId="3F29AA93" w14:textId="77777777" w:rsidR="00471D1A" w:rsidRDefault="00471D1A">
            <w:pPr>
              <w:jc w:val="both"/>
              <w:rPr>
                <w:rFonts w:ascii="Arial" w:hAnsi="Arial" w:cs="Arial"/>
                <w:iCs/>
                <w:lang w:eastAsia="ko-KR"/>
              </w:rPr>
            </w:pPr>
            <w:r>
              <w:rPr>
                <w:rFonts w:ascii="Arial" w:hAnsi="Arial" w:cs="Arial"/>
                <w:iCs/>
                <w:lang w:eastAsia="ko-KR"/>
              </w:rPr>
              <w:t xml:space="preserve">So far, RAN1 didn’t discuss the feasibility of </w:t>
            </w:r>
          </w:p>
          <w:p w14:paraId="3C81B1EE" w14:textId="77777777" w:rsidR="00471D1A" w:rsidRDefault="00471D1A" w:rsidP="00471D1A">
            <w:pPr>
              <w:numPr>
                <w:ilvl w:val="0"/>
                <w:numId w:val="34"/>
              </w:numPr>
              <w:spacing w:after="0"/>
              <w:jc w:val="both"/>
              <w:rPr>
                <w:rFonts w:ascii="Arial" w:hAnsi="Arial" w:cs="Arial"/>
                <w:iCs/>
                <w:lang w:eastAsia="ko-KR"/>
              </w:rPr>
            </w:pPr>
            <w:r>
              <w:rPr>
                <w:rFonts w:ascii="Arial" w:hAnsi="Arial" w:cs="Arial"/>
                <w:iCs/>
                <w:lang w:eastAsia="ko-KR"/>
              </w:rPr>
              <w:t>Joint release of multiple SPS configurations by a single DCI signalling</w:t>
            </w:r>
          </w:p>
          <w:p w14:paraId="5693B9D9" w14:textId="77777777" w:rsidR="00471D1A" w:rsidRDefault="00471D1A" w:rsidP="00471D1A">
            <w:pPr>
              <w:numPr>
                <w:ilvl w:val="0"/>
                <w:numId w:val="34"/>
              </w:numPr>
              <w:spacing w:after="0"/>
              <w:jc w:val="both"/>
              <w:rPr>
                <w:rFonts w:ascii="Arial" w:hAnsi="Arial" w:cs="Arial"/>
                <w:iCs/>
                <w:lang w:eastAsia="ko-KR"/>
              </w:rPr>
            </w:pPr>
            <w:r>
              <w:rPr>
                <w:rFonts w:ascii="Arial" w:hAnsi="Arial" w:cs="Arial"/>
                <w:iCs/>
                <w:lang w:eastAsia="ko-KR"/>
              </w:rPr>
              <w:t>Joint activation of multiple SPS/Type 2 CG configurations by a single DCI signalling</w:t>
            </w:r>
          </w:p>
          <w:p w14:paraId="7C4D911F" w14:textId="77777777" w:rsidR="00471D1A" w:rsidRDefault="00471D1A">
            <w:pPr>
              <w:jc w:val="both"/>
              <w:rPr>
                <w:rFonts w:eastAsia="Yu Mincho"/>
                <w:lang w:eastAsia="ko-KR"/>
              </w:rPr>
            </w:pPr>
            <w:r>
              <w:rPr>
                <w:rFonts w:ascii="Arial" w:hAnsi="Arial" w:cs="Arial"/>
                <w:iCs/>
                <w:lang w:eastAsia="ko-KR"/>
              </w:rPr>
              <w:t>RAN1 will inform RAN2 once the decisions on the corresponding aspects are made.</w:t>
            </w:r>
          </w:p>
        </w:tc>
      </w:tr>
    </w:tbl>
    <w:p w14:paraId="18BD6AA4" w14:textId="77777777" w:rsidR="005D1AD5" w:rsidRDefault="00136DDE" w:rsidP="00596E71">
      <w:pPr>
        <w:jc w:val="both"/>
        <w:rPr>
          <w:lang w:val="en-US"/>
        </w:rPr>
      </w:pPr>
      <w:r>
        <w:rPr>
          <w:lang w:val="en-US"/>
        </w:rPr>
        <w:br/>
      </w:r>
      <w:r w:rsidR="005D1AD5">
        <w:rPr>
          <w:lang w:val="en-US"/>
        </w:rPr>
        <w:t>Besides, the following was agreed in RAN1#97 regarding the maximum number of active CG configurations</w:t>
      </w:r>
      <w:r w:rsidR="00711386">
        <w:rPr>
          <w:lang w:val="en-US"/>
        </w:rPr>
        <w:t xml:space="preserve"> [4]</w:t>
      </w:r>
      <w:r w:rsidR="005D1AD5">
        <w:rPr>
          <w:lang w:val="en-US"/>
        </w:rPr>
        <w:t>:</w:t>
      </w:r>
    </w:p>
    <w:p w14:paraId="35B0D711" w14:textId="77777777" w:rsidR="005D1AD5" w:rsidRDefault="00476A83" w:rsidP="005D1AD5">
      <w:pPr>
        <w:jc w:val="center"/>
        <w:rPr>
          <w:lang w:val="en-US"/>
        </w:rPr>
      </w:pPr>
      <w:r>
        <w:rPr>
          <w:noProof/>
          <w:lang w:val="en-US"/>
        </w:rPr>
        <mc:AlternateContent>
          <mc:Choice Requires="wps">
            <w:drawing>
              <wp:inline distT="0" distB="0" distL="0" distR="0" wp14:anchorId="540B3F96" wp14:editId="4E9341BF">
                <wp:extent cx="5927090" cy="444500"/>
                <wp:effectExtent l="7620" t="6350" r="8890" b="635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444500"/>
                        </a:xfrm>
                        <a:prstGeom prst="rect">
                          <a:avLst/>
                        </a:prstGeom>
                        <a:solidFill>
                          <a:srgbClr val="FFFFFF"/>
                        </a:solidFill>
                        <a:ln w="9525">
                          <a:solidFill>
                            <a:srgbClr val="000000"/>
                          </a:solidFill>
                          <a:miter lim="800000"/>
                          <a:headEnd/>
                          <a:tailEnd/>
                        </a:ln>
                      </wps:spPr>
                      <wps:txbx>
                        <w:txbxContent>
                          <w:p w14:paraId="6D895177" w14:textId="77777777" w:rsidR="00B65086" w:rsidRPr="00605293" w:rsidRDefault="00B65086" w:rsidP="005D1AD5">
                            <w:pPr>
                              <w:spacing w:after="0"/>
                              <w:ind w:firstLine="284"/>
                              <w:rPr>
                                <w:i/>
                                <w:highlight w:val="green"/>
                              </w:rPr>
                            </w:pPr>
                            <w:r w:rsidRPr="00605293">
                              <w:rPr>
                                <w:i/>
                                <w:highlight w:val="green"/>
                              </w:rPr>
                              <w:t>Agreements:</w:t>
                            </w:r>
                          </w:p>
                          <w:p w14:paraId="4807443B" w14:textId="77777777" w:rsidR="00B65086" w:rsidRPr="00605293" w:rsidRDefault="00B65086" w:rsidP="005D1AD5">
                            <w:pPr>
                              <w:pStyle w:val="ListParagraph"/>
                              <w:widowControl w:val="0"/>
                              <w:numPr>
                                <w:ilvl w:val="0"/>
                                <w:numId w:val="38"/>
                              </w:numPr>
                              <w:spacing w:after="0"/>
                              <w:ind w:left="714" w:hanging="357"/>
                              <w:jc w:val="both"/>
                              <w:rPr>
                                <w:rFonts w:eastAsia="Yu Mincho"/>
                                <w:i/>
                                <w:lang w:eastAsia="ja-JP"/>
                              </w:rPr>
                            </w:pPr>
                            <w:r w:rsidRPr="00605293">
                              <w:rPr>
                                <w:rFonts w:eastAsia="Yu Mincho"/>
                                <w:i/>
                                <w:lang w:eastAsia="ja-JP"/>
                              </w:rPr>
                              <w:t>For the maximum number of UL CG configurations per BWP of a serving cell: 12</w:t>
                            </w:r>
                          </w:p>
                          <w:p w14:paraId="59D17681" w14:textId="77777777" w:rsidR="00B65086" w:rsidRDefault="00B65086" w:rsidP="005D1AD5"/>
                        </w:txbxContent>
                      </wps:txbx>
                      <wps:bodyPr rot="0" vert="horz" wrap="square" lIns="91440" tIns="45720" rIns="91440" bIns="45720" anchor="t" anchorCtr="0" upright="1">
                        <a:noAutofit/>
                      </wps:bodyPr>
                    </wps:wsp>
                  </a:graphicData>
                </a:graphic>
              </wp:inline>
            </w:drawing>
          </mc:Choice>
          <mc:Fallback>
            <w:pict>
              <v:shape w14:anchorId="540B3F96" id="Text Box 7" o:spid="_x0000_s1028" type="#_x0000_t202" style="width:466.7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">
                <v:textbox>
                  <w:txbxContent>
                    <w:p w14:paraId="6D895177" w14:textId="77777777" w:rsidR="00B65086" w:rsidRPr="00605293" w:rsidRDefault="00B65086" w:rsidP="005D1AD5">
                      <w:pPr>
                        <w:spacing w:after="0"/>
                        <w:ind w:firstLine="284"/>
                        <w:rPr>
                          <w:i/>
                          <w:highlight w:val="green"/>
                        </w:rPr>
                      </w:pPr>
                      <w:r w:rsidRPr="00605293">
                        <w:rPr>
                          <w:i/>
                          <w:highlight w:val="green"/>
                        </w:rPr>
                        <w:t>Agreements:</w:t>
                      </w:r>
                    </w:p>
                    <w:p w14:paraId="4807443B" w14:textId="77777777" w:rsidR="00B65086" w:rsidRPr="00605293" w:rsidRDefault="00B65086" w:rsidP="005D1AD5">
                      <w:pPr>
                        <w:pStyle w:val="ListParagraph"/>
                        <w:widowControl w:val="0"/>
                        <w:numPr>
                          <w:ilvl w:val="0"/>
                          <w:numId w:val="38"/>
                        </w:numPr>
                        <w:spacing w:after="0"/>
                        <w:ind w:left="714" w:hanging="357"/>
                        <w:jc w:val="both"/>
                        <w:rPr>
                          <w:rFonts w:eastAsia="Yu Mincho"/>
                          <w:i/>
                          <w:lang w:eastAsia="ja-JP"/>
                        </w:rPr>
                      </w:pPr>
                      <w:r w:rsidRPr="00605293">
                        <w:rPr>
                          <w:rFonts w:eastAsia="Yu Mincho"/>
                          <w:i/>
                          <w:lang w:eastAsia="ja-JP"/>
                        </w:rPr>
                        <w:t>For the maximum number of UL CG configurations per BWP of a serving cell: 12</w:t>
                      </w:r>
                    </w:p>
                    <w:p w14:paraId="59D17681" w14:textId="77777777" w:rsidR="00B65086" w:rsidRDefault="00B65086" w:rsidP="005D1AD5"/>
                  </w:txbxContent>
                </v:textbox>
                <w10:anchorlock/>
              </v:shape>
            </w:pict>
          </mc:Fallback>
        </mc:AlternateContent>
      </w:r>
    </w:p>
    <w:p w14:paraId="5C377793" w14:textId="01326E5E" w:rsidR="00471FD8" w:rsidRDefault="00471FD8" w:rsidP="00596E71">
      <w:pPr>
        <w:jc w:val="both"/>
        <w:rPr>
          <w:lang w:val="en-US"/>
        </w:rPr>
      </w:pPr>
      <w:r>
        <w:rPr>
          <w:lang w:val="en-US"/>
        </w:rPr>
        <w:t>In this</w:t>
      </w:r>
      <w:r w:rsidR="00136DDE">
        <w:rPr>
          <w:lang w:val="en-US"/>
        </w:rPr>
        <w:t xml:space="preserve"> contribution </w:t>
      </w:r>
      <w:r>
        <w:rPr>
          <w:lang w:val="en-US"/>
        </w:rPr>
        <w:t xml:space="preserve">we discuss </w:t>
      </w:r>
      <w:r w:rsidR="008B7988">
        <w:rPr>
          <w:lang w:val="en-US"/>
        </w:rPr>
        <w:t xml:space="preserve">further details </w:t>
      </w:r>
      <w:r>
        <w:rPr>
          <w:lang w:val="en-US"/>
        </w:rPr>
        <w:t xml:space="preserve">regarding the configuration, activation and </w:t>
      </w:r>
      <w:r w:rsidR="000D46C0">
        <w:rPr>
          <w:lang w:val="en-US"/>
        </w:rPr>
        <w:t>release</w:t>
      </w:r>
      <w:r>
        <w:rPr>
          <w:lang w:val="en-US"/>
        </w:rPr>
        <w:t xml:space="preserve"> of multiple </w:t>
      </w:r>
      <w:r w:rsidR="001C46FF">
        <w:rPr>
          <w:lang w:val="en-US"/>
        </w:rPr>
        <w:t>CG</w:t>
      </w:r>
      <w:r w:rsidR="00EE74C8">
        <w:rPr>
          <w:lang w:val="en-US"/>
        </w:rPr>
        <w:t xml:space="preserve"> </w:t>
      </w:r>
      <w:r>
        <w:rPr>
          <w:lang w:val="en-US"/>
        </w:rPr>
        <w:t>configurations</w:t>
      </w:r>
      <w:r w:rsidR="00136DDE">
        <w:rPr>
          <w:lang w:val="en-US"/>
        </w:rPr>
        <w:t>.</w:t>
      </w:r>
      <w:r>
        <w:rPr>
          <w:lang w:val="en-US"/>
        </w:rPr>
        <w:t xml:space="preserve"> Particularly we focus on the need of </w:t>
      </w:r>
      <w:r w:rsidR="00DF7199">
        <w:rPr>
          <w:lang w:val="en-US"/>
        </w:rPr>
        <w:t>CG</w:t>
      </w:r>
      <w:r w:rsidR="00EE74C8">
        <w:rPr>
          <w:lang w:val="en-US"/>
        </w:rPr>
        <w:t xml:space="preserve"> </w:t>
      </w:r>
      <w:r w:rsidRPr="00471FD8">
        <w:rPr>
          <w:lang w:val="en-US"/>
        </w:rPr>
        <w:t>groups</w:t>
      </w:r>
      <w:r>
        <w:rPr>
          <w:lang w:val="en-US"/>
        </w:rPr>
        <w:t xml:space="preserve">, whether it is beneficial to support </w:t>
      </w:r>
      <w:r w:rsidR="00DF7199">
        <w:rPr>
          <w:lang w:val="en-US"/>
        </w:rPr>
        <w:t xml:space="preserve">joint </w:t>
      </w:r>
      <w:r>
        <w:rPr>
          <w:lang w:val="en-US"/>
        </w:rPr>
        <w:t>activation/</w:t>
      </w:r>
      <w:r w:rsidR="00DF7199">
        <w:rPr>
          <w:lang w:val="en-US"/>
        </w:rPr>
        <w:t>release</w:t>
      </w:r>
      <w:r>
        <w:rPr>
          <w:lang w:val="en-US"/>
        </w:rPr>
        <w:t xml:space="preserve"> of multiple </w:t>
      </w:r>
      <w:r w:rsidR="00DF7199">
        <w:rPr>
          <w:lang w:val="en-US"/>
        </w:rPr>
        <w:t>Type-2 CG</w:t>
      </w:r>
      <w:r>
        <w:rPr>
          <w:lang w:val="en-US"/>
        </w:rPr>
        <w:t xml:space="preserve"> configurations</w:t>
      </w:r>
      <w:r w:rsidR="00B60262">
        <w:rPr>
          <w:lang w:val="en-US"/>
        </w:rPr>
        <w:t xml:space="preserve">, as well as how </w:t>
      </w:r>
      <w:r w:rsidR="000D46C0">
        <w:rPr>
          <w:lang w:val="en-US"/>
        </w:rPr>
        <w:t xml:space="preserve">activation or release of </w:t>
      </w:r>
      <w:r w:rsidR="00B60262">
        <w:rPr>
          <w:lang w:val="en-US"/>
        </w:rPr>
        <w:t>Type-2 CG</w:t>
      </w:r>
      <w:r w:rsidR="000D46C0">
        <w:rPr>
          <w:lang w:val="en-US"/>
        </w:rPr>
        <w:t>s</w:t>
      </w:r>
      <w:r w:rsidR="00B60262">
        <w:rPr>
          <w:lang w:val="en-US"/>
        </w:rPr>
        <w:t xml:space="preserve"> should </w:t>
      </w:r>
      <w:r w:rsidR="000D46C0">
        <w:rPr>
          <w:lang w:val="en-US"/>
        </w:rPr>
        <w:t>be confirmed</w:t>
      </w:r>
      <w:r>
        <w:rPr>
          <w:lang w:val="en-US"/>
        </w:rPr>
        <w:t xml:space="preserve">. </w:t>
      </w:r>
    </w:p>
    <w:p w14:paraId="56F3186B" w14:textId="77777777" w:rsidR="00471FD8" w:rsidRDefault="00E86CE5" w:rsidP="00E86CE5">
      <w:pPr>
        <w:pStyle w:val="Heading1"/>
      </w:pPr>
      <w:r>
        <w:lastRenderedPageBreak/>
        <w:t>2</w:t>
      </w:r>
      <w:r w:rsidR="00136DDE" w:rsidRPr="009A695D">
        <w:tab/>
      </w:r>
      <w:r w:rsidR="00E32FD5">
        <w:t>Details on multiple configured grant configurations</w:t>
      </w:r>
    </w:p>
    <w:p w14:paraId="46FCAECA" w14:textId="77777777" w:rsidR="00893011" w:rsidRDefault="00893011" w:rsidP="00596E71">
      <w:pPr>
        <w:jc w:val="both"/>
      </w:pPr>
      <w:r>
        <w:t>Multiple</w:t>
      </w:r>
      <w:r w:rsidR="00121CA0">
        <w:t xml:space="preserve"> </w:t>
      </w:r>
      <w:r>
        <w:t>active CG configurations were agreed in RAN1 to support the following use cases:</w:t>
      </w:r>
    </w:p>
    <w:p w14:paraId="66CA6721" w14:textId="77777777" w:rsidR="00893011" w:rsidRDefault="00893011" w:rsidP="00596E71">
      <w:pPr>
        <w:numPr>
          <w:ilvl w:val="0"/>
          <w:numId w:val="28"/>
        </w:numPr>
        <w:jc w:val="both"/>
      </w:pPr>
      <w:r>
        <w:t xml:space="preserve">Use case 1: simultaneously support different requirements for various </w:t>
      </w:r>
      <w:proofErr w:type="spellStart"/>
      <w:r>
        <w:t>IIoT</w:t>
      </w:r>
      <w:proofErr w:type="spellEnd"/>
      <w:r>
        <w:t xml:space="preserve"> service</w:t>
      </w:r>
      <w:r w:rsidR="00CE06FE">
        <w:t>s.</w:t>
      </w:r>
      <w:r>
        <w:t xml:space="preserve"> </w:t>
      </w:r>
    </w:p>
    <w:p w14:paraId="7DE33E77" w14:textId="77777777" w:rsidR="00893011" w:rsidRDefault="00893011" w:rsidP="002D7727">
      <w:pPr>
        <w:numPr>
          <w:ilvl w:val="0"/>
          <w:numId w:val="28"/>
        </w:numPr>
      </w:pPr>
      <w:r>
        <w:t>Use</w:t>
      </w:r>
      <w:r w:rsidR="002D7727">
        <w:t xml:space="preserve"> </w:t>
      </w:r>
      <w:r>
        <w:t>case 2: enhancing reliability and reducing latency by shifting the start time of the first transmission occasions for multiple configurations</w:t>
      </w:r>
    </w:p>
    <w:p w14:paraId="11E06780" w14:textId="77777777" w:rsidR="00121CA0" w:rsidRPr="001F5D21" w:rsidRDefault="00121CA0" w:rsidP="00596E71">
      <w:pPr>
        <w:jc w:val="both"/>
        <w:rPr>
          <w:lang w:val="en-US"/>
        </w:rPr>
      </w:pPr>
      <w:r>
        <w:t xml:space="preserve">Moreover, in </w:t>
      </w:r>
      <w:r w:rsidRPr="00C77822">
        <w:rPr>
          <w:lang w:val="en-US"/>
        </w:rPr>
        <w:t>RAN2#106</w:t>
      </w:r>
      <w:r>
        <w:rPr>
          <w:lang w:val="en-US"/>
        </w:rPr>
        <w:t xml:space="preserve"> there was strong consensus from the different companies that </w:t>
      </w:r>
      <w:r w:rsidRPr="00121CA0">
        <w:rPr>
          <w:lang w:val="en-US"/>
        </w:rPr>
        <w:t xml:space="preserve">multiple </w:t>
      </w:r>
      <w:r>
        <w:rPr>
          <w:lang w:val="en-US"/>
        </w:rPr>
        <w:t>CG</w:t>
      </w:r>
      <w:r w:rsidRPr="00121CA0">
        <w:rPr>
          <w:lang w:val="en-US"/>
        </w:rPr>
        <w:t xml:space="preserve"> configurations could </w:t>
      </w:r>
      <w:r>
        <w:rPr>
          <w:lang w:val="en-US"/>
        </w:rPr>
        <w:t xml:space="preserve">also </w:t>
      </w:r>
      <w:r w:rsidRPr="00121CA0">
        <w:rPr>
          <w:lang w:val="en-US"/>
        </w:rPr>
        <w:t xml:space="preserve">be used to </w:t>
      </w:r>
      <w:r>
        <w:rPr>
          <w:lang w:val="en-US"/>
        </w:rPr>
        <w:t xml:space="preserve">reduce </w:t>
      </w:r>
      <w:r w:rsidRPr="00121CA0">
        <w:rPr>
          <w:lang w:val="en-US"/>
        </w:rPr>
        <w:t xml:space="preserve">the </w:t>
      </w:r>
      <w:r w:rsidR="008B7988">
        <w:rPr>
          <w:lang w:val="en-US"/>
        </w:rPr>
        <w:t>scheduling</w:t>
      </w:r>
      <w:r w:rsidRPr="00121CA0">
        <w:rPr>
          <w:lang w:val="en-US"/>
        </w:rPr>
        <w:t xml:space="preserve"> misalignment </w:t>
      </w:r>
      <w:r>
        <w:rPr>
          <w:lang w:val="en-US"/>
        </w:rPr>
        <w:t>of use cases with periodicities</w:t>
      </w:r>
      <w:r w:rsidRPr="00121CA0">
        <w:rPr>
          <w:lang w:val="en-US"/>
        </w:rPr>
        <w:t xml:space="preserve"> </w:t>
      </w:r>
      <w:r>
        <w:rPr>
          <w:lang w:val="en-US"/>
        </w:rPr>
        <w:t xml:space="preserve">that are </w:t>
      </w:r>
      <w:r w:rsidRPr="00121CA0">
        <w:rPr>
          <w:lang w:val="en-US"/>
        </w:rPr>
        <w:t xml:space="preserve">non-integer multiple </w:t>
      </w:r>
      <w:r>
        <w:rPr>
          <w:lang w:val="en-US"/>
        </w:rPr>
        <w:t>of those supported by NR</w:t>
      </w:r>
      <w:r w:rsidR="008B7988">
        <w:rPr>
          <w:lang w:val="en-US"/>
        </w:rPr>
        <w:t xml:space="preserve"> – we refer to this as “use case 3” in the remain</w:t>
      </w:r>
      <w:r w:rsidR="00744EC8">
        <w:rPr>
          <w:lang w:val="en-US"/>
        </w:rPr>
        <w:t>der</w:t>
      </w:r>
      <w:r w:rsidR="008B7988">
        <w:rPr>
          <w:lang w:val="en-US"/>
        </w:rPr>
        <w:t xml:space="preserve"> of this contribution</w:t>
      </w:r>
      <w:r>
        <w:rPr>
          <w:lang w:val="en-US"/>
        </w:rPr>
        <w:t xml:space="preserve">. </w:t>
      </w:r>
      <w:r w:rsidR="008B7988">
        <w:rPr>
          <w:lang w:val="en-US"/>
        </w:rPr>
        <w:t>These three</w:t>
      </w:r>
      <w:r>
        <w:rPr>
          <w:lang w:val="en-US"/>
        </w:rPr>
        <w:t xml:space="preserve"> main use cases for multiple CG configurations entail different solutions </w:t>
      </w:r>
      <w:r w:rsidR="001F5D21">
        <w:rPr>
          <w:lang w:val="en-US"/>
        </w:rPr>
        <w:t>for configuration and activation/</w:t>
      </w:r>
      <w:r w:rsidR="000D46C0">
        <w:rPr>
          <w:lang w:val="en-US"/>
        </w:rPr>
        <w:t>release</w:t>
      </w:r>
      <w:r w:rsidR="008B7988">
        <w:rPr>
          <w:lang w:val="en-US"/>
        </w:rPr>
        <w:t xml:space="preserve"> as will be discussed next</w:t>
      </w:r>
      <w:r>
        <w:rPr>
          <w:lang w:val="en-US"/>
        </w:rPr>
        <w:t>.</w:t>
      </w:r>
    </w:p>
    <w:p w14:paraId="68EF4E2C" w14:textId="77777777" w:rsidR="00A46B79" w:rsidRDefault="00E86CE5" w:rsidP="00E86CE5">
      <w:pPr>
        <w:pStyle w:val="Heading2"/>
        <w:rPr>
          <w:lang w:eastAsia="ko-KR"/>
        </w:rPr>
      </w:pPr>
      <w:r>
        <w:t>2.1</w:t>
      </w:r>
      <w:r>
        <w:tab/>
      </w:r>
      <w:r w:rsidR="001F5D21" w:rsidRPr="00E86CE5">
        <w:t>RRC</w:t>
      </w:r>
      <w:r w:rsidR="001F5D21">
        <w:rPr>
          <w:lang w:eastAsia="ko-KR"/>
        </w:rPr>
        <w:t xml:space="preserve"> Configuration</w:t>
      </w:r>
      <w:r w:rsidR="00CD47DA">
        <w:rPr>
          <w:lang w:eastAsia="ko-KR"/>
        </w:rPr>
        <w:t xml:space="preserve">, activation and </w:t>
      </w:r>
      <w:r w:rsidR="000D46C0">
        <w:rPr>
          <w:lang w:eastAsia="ko-KR"/>
        </w:rPr>
        <w:t>release</w:t>
      </w:r>
    </w:p>
    <w:p w14:paraId="3F96E26C" w14:textId="77777777" w:rsidR="008D27AF" w:rsidRDefault="008B7988" w:rsidP="00596E71">
      <w:pPr>
        <w:jc w:val="both"/>
      </w:pPr>
      <w:r>
        <w:rPr>
          <w:lang w:eastAsia="ko-KR"/>
        </w:rPr>
        <w:t>In</w:t>
      </w:r>
      <w:r w:rsidR="001F5D21">
        <w:rPr>
          <w:lang w:eastAsia="ko-KR"/>
        </w:rPr>
        <w:t xml:space="preserve"> use case 1</w:t>
      </w:r>
      <w:r w:rsidR="008D27AF">
        <w:rPr>
          <w:lang w:eastAsia="ko-KR"/>
        </w:rPr>
        <w:t xml:space="preserve">, </w:t>
      </w:r>
      <w:r w:rsidR="008D27AF">
        <w:t xml:space="preserve">we mainly target the support of different and independent services, e.g. independent TSC flows with potentially different transport block sizes, time offset, periodicities, </w:t>
      </w:r>
      <w:r w:rsidR="00905458">
        <w:t xml:space="preserve">reliability requirement (MCS), </w:t>
      </w:r>
      <w:r w:rsidR="008D27AF">
        <w:t>etc.</w:t>
      </w:r>
      <w:r w:rsidR="00905458">
        <w:t xml:space="preserve"> This was highlighted in our previous contribution </w:t>
      </w:r>
      <w:r w:rsidR="007928B1">
        <w:t>[</w:t>
      </w:r>
      <w:r w:rsidR="00711386">
        <w:t>5</w:t>
      </w:r>
      <w:r w:rsidR="007928B1">
        <w:t>]</w:t>
      </w:r>
      <w:r w:rsidR="00905458">
        <w:t xml:space="preserve"> with the example of a UE </w:t>
      </w:r>
      <w:r>
        <w:t>acting</w:t>
      </w:r>
      <w:r w:rsidR="00905458" w:rsidRPr="008735AF">
        <w:t xml:space="preserve"> as a hub that </w:t>
      </w:r>
      <w:r w:rsidR="00905458">
        <w:t xml:space="preserve">multiplexes and de-multiplexes </w:t>
      </w:r>
      <w:r w:rsidR="00905458" w:rsidRPr="008735AF">
        <w:t xml:space="preserve">traffic from/to multiple end stations </w:t>
      </w:r>
      <w:r w:rsidR="00905458">
        <w:t xml:space="preserve">or devices. </w:t>
      </w:r>
      <w:r w:rsidR="0023012C">
        <w:t>As high</w:t>
      </w:r>
      <w:r w:rsidR="008D27AF" w:rsidRPr="00B420EB">
        <w:t xml:space="preserve"> flexibility </w:t>
      </w:r>
      <w:r w:rsidR="0023012C">
        <w:t xml:space="preserve">is needed </w:t>
      </w:r>
      <w:r w:rsidR="008D27AF" w:rsidRPr="00B420EB">
        <w:t xml:space="preserve">in terms of the </w:t>
      </w:r>
      <w:r w:rsidR="0023012C">
        <w:t xml:space="preserve">CG configuration </w:t>
      </w:r>
      <w:r w:rsidR="008D27AF" w:rsidRPr="00B420EB">
        <w:t xml:space="preserve">parameters mentioned above, independent </w:t>
      </w:r>
      <w:r w:rsidR="008D27AF">
        <w:t xml:space="preserve">RRC configuration </w:t>
      </w:r>
      <w:r w:rsidR="00FB74D4">
        <w:t>is generally preferred</w:t>
      </w:r>
      <w:r w:rsidR="00DF7199">
        <w:t xml:space="preserve">, i.e. we don’t see any benefits or gains of </w:t>
      </w:r>
      <w:r w:rsidR="00FD5B27">
        <w:t>using the concept of ‘CG groups’ (e.g. as proposed in [</w:t>
      </w:r>
      <w:r w:rsidR="00711386">
        <w:t>6</w:t>
      </w:r>
      <w:r w:rsidR="00FD5B27">
        <w:t>])</w:t>
      </w:r>
      <w:r w:rsidR="008D27AF">
        <w:t xml:space="preserve">. </w:t>
      </w:r>
      <w:r w:rsidR="00CD47DA">
        <w:t xml:space="preserve">Besides, if Type-2 CG configuration is </w:t>
      </w:r>
      <w:r w:rsidR="00FD5B27">
        <w:t>applied</w:t>
      </w:r>
      <w:r w:rsidR="00CD47DA">
        <w:t xml:space="preserve">, </w:t>
      </w:r>
      <w:r w:rsidR="00453BBF">
        <w:t xml:space="preserve">independent activation and </w:t>
      </w:r>
      <w:r w:rsidR="00FD5B27">
        <w:t>release</w:t>
      </w:r>
      <w:r w:rsidR="00453BBF">
        <w:t xml:space="preserve"> is also a reasonable assumption.</w:t>
      </w:r>
    </w:p>
    <w:p w14:paraId="1A792D6B" w14:textId="77777777" w:rsidR="00FB74D4" w:rsidRPr="00FB74D4" w:rsidRDefault="00A16B82" w:rsidP="00596E71">
      <w:pPr>
        <w:jc w:val="both"/>
        <w:rPr>
          <w:b/>
        </w:rPr>
      </w:pPr>
      <w:r w:rsidRPr="00A16B82">
        <w:rPr>
          <w:b/>
        </w:rPr>
        <w:t xml:space="preserve">Observation 1: To support different uplink traffic flows within the same UE (e.g. having different payload sizes, time offset, periodicities and/or reliability requirements), independent RRC configuration of each CG together with independent activation and </w:t>
      </w:r>
      <w:r w:rsidR="00FD5B27">
        <w:rPr>
          <w:b/>
        </w:rPr>
        <w:t>release</w:t>
      </w:r>
      <w:r w:rsidRPr="00A16B82">
        <w:rPr>
          <w:b/>
        </w:rPr>
        <w:t xml:space="preserve"> for Type-2 CGs is preferred.</w:t>
      </w:r>
    </w:p>
    <w:p w14:paraId="09F832B5" w14:textId="4822A1EC" w:rsidR="00C110E7" w:rsidRDefault="00FB74D4" w:rsidP="00B65086">
      <w:pPr>
        <w:jc w:val="both"/>
      </w:pPr>
      <w:r>
        <w:t xml:space="preserve">In contrast, in use case 2 and use case 3 multiple active CG configurations are used to improve reliability, decrease latency and/or improve radio resource usage for a single service. </w:t>
      </w:r>
      <w:r w:rsidR="00306C12">
        <w:t>In these cases, only a few parameters</w:t>
      </w:r>
      <w:r>
        <w:t xml:space="preserve"> </w:t>
      </w:r>
      <w:r w:rsidR="00306C12">
        <w:t>are expected to be different across configurations: at least the time domain offset and the</w:t>
      </w:r>
      <w:r w:rsidR="00306C12" w:rsidRPr="00306C12">
        <w:t xml:space="preserve"> AP/DM-RS sequence initialization</w:t>
      </w:r>
      <w:r w:rsidR="00306C12">
        <w:t xml:space="preserve">, </w:t>
      </w:r>
      <w:r w:rsidR="00306C12" w:rsidRPr="00306C12">
        <w:t xml:space="preserve">whereas </w:t>
      </w:r>
      <w:r w:rsidR="00CE06FE">
        <w:t xml:space="preserve">a </w:t>
      </w:r>
      <w:r w:rsidR="00306C12" w:rsidRPr="00306C12">
        <w:t xml:space="preserve">different frequency domain allocation could </w:t>
      </w:r>
      <w:r w:rsidR="00F1515C" w:rsidRPr="00306C12">
        <w:t xml:space="preserve">be </w:t>
      </w:r>
      <w:r w:rsidR="00306C12" w:rsidRPr="00306C12">
        <w:t>also considered e.g. to increase frequency diversity.</w:t>
      </w:r>
      <w:r w:rsidR="00306C12">
        <w:t xml:space="preserve"> </w:t>
      </w:r>
      <w:r w:rsidR="00401785">
        <w:t>T</w:t>
      </w:r>
      <w:r w:rsidR="00C110E7">
        <w:t>he concept of CG groups</w:t>
      </w:r>
      <w:r w:rsidR="00A20FB2">
        <w:t>,</w:t>
      </w:r>
      <w:r w:rsidR="00C110E7">
        <w:t xml:space="preserve"> </w:t>
      </w:r>
      <w:r w:rsidR="00A20FB2">
        <w:t xml:space="preserve">allowing both common parameters and independent parameters across CG configurations, could be beneficial to reduce the RRC-configuration overhead, especially if the number of ‘grouped’ CG configurations is large and the number of independent parameters is </w:t>
      </w:r>
      <w:r w:rsidR="008B7988">
        <w:t xml:space="preserve">relatively </w:t>
      </w:r>
      <w:r w:rsidR="00A20FB2">
        <w:t>small</w:t>
      </w:r>
      <w:r w:rsidR="008B7988">
        <w:t xml:space="preserve"> compared to the number of common parameters</w:t>
      </w:r>
      <w:r w:rsidR="00A20FB2">
        <w:t>.</w:t>
      </w:r>
    </w:p>
    <w:p w14:paraId="13D7AC34" w14:textId="67287A9A" w:rsidR="001117EB" w:rsidRDefault="00DD7D01" w:rsidP="00B65086">
      <w:pPr>
        <w:jc w:val="both"/>
      </w:pPr>
      <w:r w:rsidRPr="00DD7D01">
        <w:rPr>
          <w:b/>
        </w:rPr>
        <w:t>Observation</w:t>
      </w:r>
      <w:r>
        <w:rPr>
          <w:b/>
        </w:rPr>
        <w:t xml:space="preserve"> 2</w:t>
      </w:r>
      <w:r w:rsidRPr="00DD7D01">
        <w:rPr>
          <w:b/>
        </w:rPr>
        <w:t xml:space="preserve">: CG configuration groups </w:t>
      </w:r>
      <w:r w:rsidR="00001961">
        <w:rPr>
          <w:b/>
        </w:rPr>
        <w:t>are mainly relevant</w:t>
      </w:r>
      <w:r w:rsidRPr="00DD7D01">
        <w:rPr>
          <w:b/>
        </w:rPr>
        <w:t xml:space="preserve"> to improve reliability</w:t>
      </w:r>
      <w:r w:rsidR="007928B1">
        <w:rPr>
          <w:b/>
        </w:rPr>
        <w:t xml:space="preserve"> and/or</w:t>
      </w:r>
      <w:r w:rsidRPr="00DD7D01">
        <w:rPr>
          <w:b/>
        </w:rPr>
        <w:t xml:space="preserve"> decrease latency </w:t>
      </w:r>
      <w:r w:rsidR="007928B1">
        <w:rPr>
          <w:b/>
        </w:rPr>
        <w:t>of a single service, or to serve applications with non-integer periodicities</w:t>
      </w:r>
      <w:r w:rsidRPr="00DD7D01">
        <w:rPr>
          <w:b/>
        </w:rPr>
        <w:t xml:space="preserve">. </w:t>
      </w:r>
    </w:p>
    <w:p w14:paraId="43BA3A1A" w14:textId="6FAF5A44" w:rsidR="001117EB" w:rsidRDefault="001117EB" w:rsidP="00B65086">
      <w:pPr>
        <w:jc w:val="both"/>
      </w:pPr>
      <w:r>
        <w:t xml:space="preserve">When it comes to </w:t>
      </w:r>
      <w:r w:rsidR="002000B2">
        <w:t xml:space="preserve">the potential </w:t>
      </w:r>
      <w:r>
        <w:t>overhead reduction</w:t>
      </w:r>
      <w:r w:rsidR="002000B2">
        <w:t xml:space="preserve"> from using CG groups</w:t>
      </w:r>
      <w:r>
        <w:t xml:space="preserve">, </w:t>
      </w:r>
      <w:r w:rsidR="00401785">
        <w:t>use case 2 (</w:t>
      </w:r>
      <w:r>
        <w:t>latency reduction</w:t>
      </w:r>
      <w:r w:rsidR="00401785">
        <w:t>)</w:t>
      </w:r>
      <w:r>
        <w:t xml:space="preserve"> allows to reuse most of the </w:t>
      </w:r>
      <w:r w:rsidR="00401785">
        <w:t>RRC configuration fields, including</w:t>
      </w:r>
      <w:r>
        <w:t>:</w:t>
      </w:r>
    </w:p>
    <w:p w14:paraId="0C8EF0C3" w14:textId="40FCF7C6" w:rsidR="009A1A16" w:rsidRDefault="001117EB" w:rsidP="00B65086">
      <w:pPr>
        <w:jc w:val="both"/>
      </w:pPr>
      <w:r>
        <w:t xml:space="preserve"> </w:t>
      </w:r>
      <w:r w:rsidR="009A1A16">
        <w:t>For both Type-1 and Type-2</w:t>
      </w:r>
    </w:p>
    <w:p w14:paraId="23305901" w14:textId="5713B9A3" w:rsidR="009A1A16" w:rsidRDefault="009A1A16" w:rsidP="00B65086">
      <w:pPr>
        <w:pStyle w:val="ListParagraph"/>
        <w:numPr>
          <w:ilvl w:val="1"/>
          <w:numId w:val="43"/>
        </w:numPr>
        <w:spacing w:after="0"/>
        <w:jc w:val="both"/>
      </w:pPr>
      <w:proofErr w:type="spellStart"/>
      <w:r>
        <w:t>frequencyHopping</w:t>
      </w:r>
      <w:proofErr w:type="spellEnd"/>
    </w:p>
    <w:p w14:paraId="13060545" w14:textId="740A4F29" w:rsidR="009A1A16" w:rsidRDefault="009A1A16" w:rsidP="00B65086">
      <w:pPr>
        <w:pStyle w:val="ListParagraph"/>
        <w:numPr>
          <w:ilvl w:val="1"/>
          <w:numId w:val="43"/>
        </w:numPr>
        <w:spacing w:after="0"/>
        <w:jc w:val="both"/>
      </w:pPr>
      <w:proofErr w:type="spellStart"/>
      <w:r>
        <w:t>mcs</w:t>
      </w:r>
      <w:proofErr w:type="spellEnd"/>
      <w:r>
        <w:t>-Table</w:t>
      </w:r>
    </w:p>
    <w:p w14:paraId="6904DA44" w14:textId="7B17BB1F" w:rsidR="009A1A16" w:rsidRDefault="009A1A16" w:rsidP="00B65086">
      <w:pPr>
        <w:pStyle w:val="ListParagraph"/>
        <w:numPr>
          <w:ilvl w:val="1"/>
          <w:numId w:val="43"/>
        </w:numPr>
        <w:spacing w:after="0"/>
        <w:jc w:val="both"/>
      </w:pPr>
      <w:proofErr w:type="spellStart"/>
      <w:r>
        <w:t>mcs-TableTransformPrecoder</w:t>
      </w:r>
      <w:proofErr w:type="spellEnd"/>
    </w:p>
    <w:p w14:paraId="7A36575D" w14:textId="5A68F32A" w:rsidR="009A1A16" w:rsidRDefault="009A1A16" w:rsidP="00B65086">
      <w:pPr>
        <w:pStyle w:val="ListParagraph"/>
        <w:numPr>
          <w:ilvl w:val="1"/>
          <w:numId w:val="43"/>
        </w:numPr>
        <w:spacing w:after="0"/>
        <w:jc w:val="both"/>
      </w:pPr>
      <w:proofErr w:type="spellStart"/>
      <w:r>
        <w:t>uci-OnPUSCH</w:t>
      </w:r>
      <w:proofErr w:type="spellEnd"/>
    </w:p>
    <w:p w14:paraId="11C283DF" w14:textId="4D12B520" w:rsidR="009A1A16" w:rsidRDefault="009A1A16" w:rsidP="00B65086">
      <w:pPr>
        <w:pStyle w:val="ListParagraph"/>
        <w:numPr>
          <w:ilvl w:val="1"/>
          <w:numId w:val="43"/>
        </w:numPr>
        <w:spacing w:after="0"/>
        <w:jc w:val="both"/>
      </w:pPr>
      <w:proofErr w:type="spellStart"/>
      <w:r>
        <w:t>resourceAllocation</w:t>
      </w:r>
      <w:proofErr w:type="spellEnd"/>
    </w:p>
    <w:p w14:paraId="6E49C9DE" w14:textId="5BB33A97" w:rsidR="009A1A16" w:rsidRDefault="009A1A16" w:rsidP="00B65086">
      <w:pPr>
        <w:pStyle w:val="ListParagraph"/>
        <w:numPr>
          <w:ilvl w:val="1"/>
          <w:numId w:val="43"/>
        </w:numPr>
        <w:spacing w:after="0"/>
        <w:jc w:val="both"/>
      </w:pPr>
      <w:proofErr w:type="spellStart"/>
      <w:r>
        <w:t>rbg</w:t>
      </w:r>
      <w:proofErr w:type="spellEnd"/>
      <w:r>
        <w:t>-Size</w:t>
      </w:r>
    </w:p>
    <w:p w14:paraId="1FD22AE8" w14:textId="2E624A2F" w:rsidR="009A1A16" w:rsidRDefault="009A1A16" w:rsidP="00B65086">
      <w:pPr>
        <w:pStyle w:val="ListParagraph"/>
        <w:numPr>
          <w:ilvl w:val="1"/>
          <w:numId w:val="43"/>
        </w:numPr>
        <w:spacing w:after="0"/>
        <w:jc w:val="both"/>
      </w:pPr>
      <w:proofErr w:type="spellStart"/>
      <w:r>
        <w:t>powerControlLoopToUse</w:t>
      </w:r>
      <w:proofErr w:type="spellEnd"/>
    </w:p>
    <w:p w14:paraId="5CC4D76D" w14:textId="38972E65" w:rsidR="009A1A16" w:rsidRDefault="009A1A16" w:rsidP="00B65086">
      <w:pPr>
        <w:pStyle w:val="ListParagraph"/>
        <w:numPr>
          <w:ilvl w:val="1"/>
          <w:numId w:val="43"/>
        </w:numPr>
        <w:spacing w:after="0"/>
        <w:jc w:val="both"/>
      </w:pPr>
      <w:r>
        <w:t>p0-PUSCH-Alpha</w:t>
      </w:r>
    </w:p>
    <w:p w14:paraId="068965F0" w14:textId="415122C8" w:rsidR="009A1A16" w:rsidRDefault="009A1A16" w:rsidP="00B65086">
      <w:pPr>
        <w:pStyle w:val="ListParagraph"/>
        <w:numPr>
          <w:ilvl w:val="1"/>
          <w:numId w:val="43"/>
        </w:numPr>
        <w:spacing w:after="0"/>
        <w:jc w:val="both"/>
      </w:pPr>
      <w:proofErr w:type="spellStart"/>
      <w:r>
        <w:t>transformPrecoder</w:t>
      </w:r>
      <w:proofErr w:type="spellEnd"/>
    </w:p>
    <w:p w14:paraId="60186CE5" w14:textId="5C786C9E" w:rsidR="009A1A16" w:rsidRDefault="009A1A16" w:rsidP="00B65086">
      <w:pPr>
        <w:pStyle w:val="ListParagraph"/>
        <w:numPr>
          <w:ilvl w:val="1"/>
          <w:numId w:val="43"/>
        </w:numPr>
        <w:spacing w:after="0"/>
        <w:jc w:val="both"/>
      </w:pPr>
      <w:proofErr w:type="spellStart"/>
      <w:r>
        <w:t>nrofHARQ</w:t>
      </w:r>
      <w:proofErr w:type="spellEnd"/>
      <w:r>
        <w:t>-Processes</w:t>
      </w:r>
    </w:p>
    <w:p w14:paraId="0DBA2A35" w14:textId="3526C469" w:rsidR="009A1A16" w:rsidRDefault="009A1A16" w:rsidP="00B65086">
      <w:pPr>
        <w:pStyle w:val="ListParagraph"/>
        <w:numPr>
          <w:ilvl w:val="1"/>
          <w:numId w:val="43"/>
        </w:numPr>
        <w:spacing w:after="0"/>
        <w:jc w:val="both"/>
      </w:pPr>
      <w:proofErr w:type="spellStart"/>
      <w:r>
        <w:t>repK</w:t>
      </w:r>
      <w:proofErr w:type="spellEnd"/>
    </w:p>
    <w:p w14:paraId="39F1E48F" w14:textId="2B49C497" w:rsidR="009A1A16" w:rsidRDefault="009A1A16" w:rsidP="00B65086">
      <w:pPr>
        <w:pStyle w:val="ListParagraph"/>
        <w:numPr>
          <w:ilvl w:val="1"/>
          <w:numId w:val="43"/>
        </w:numPr>
        <w:spacing w:after="0"/>
        <w:jc w:val="both"/>
      </w:pPr>
      <w:proofErr w:type="spellStart"/>
      <w:r>
        <w:t>repK</w:t>
      </w:r>
      <w:proofErr w:type="spellEnd"/>
      <w:r>
        <w:t>-RV</w:t>
      </w:r>
    </w:p>
    <w:p w14:paraId="13579FE5" w14:textId="4807A388" w:rsidR="009A1A16" w:rsidRDefault="009A1A16" w:rsidP="00B65086">
      <w:pPr>
        <w:pStyle w:val="ListParagraph"/>
        <w:numPr>
          <w:ilvl w:val="1"/>
          <w:numId w:val="43"/>
        </w:numPr>
        <w:spacing w:after="0"/>
        <w:jc w:val="both"/>
      </w:pPr>
      <w:r>
        <w:t>periodicity</w:t>
      </w:r>
    </w:p>
    <w:p w14:paraId="239DDC33" w14:textId="6819679A" w:rsidR="009A1A16" w:rsidRDefault="009A1A16" w:rsidP="00B65086">
      <w:pPr>
        <w:pStyle w:val="ListParagraph"/>
        <w:numPr>
          <w:ilvl w:val="1"/>
          <w:numId w:val="43"/>
        </w:numPr>
        <w:spacing w:after="0"/>
        <w:jc w:val="both"/>
      </w:pPr>
      <w:proofErr w:type="spellStart"/>
      <w:r>
        <w:t>configuredGrantTimer</w:t>
      </w:r>
      <w:proofErr w:type="spellEnd"/>
    </w:p>
    <w:p w14:paraId="7A15595B" w14:textId="568C4A10" w:rsidR="009A1A16" w:rsidRDefault="009A1A16" w:rsidP="00B65086">
      <w:pPr>
        <w:pStyle w:val="ListParagraph"/>
        <w:numPr>
          <w:ilvl w:val="0"/>
          <w:numId w:val="43"/>
        </w:numPr>
        <w:spacing w:after="0"/>
        <w:jc w:val="both"/>
      </w:pPr>
      <w:r>
        <w:t>For Type-1 only:</w:t>
      </w:r>
    </w:p>
    <w:p w14:paraId="17CF7279" w14:textId="343C2321" w:rsidR="009A1A16" w:rsidRDefault="009A1A16" w:rsidP="00B65086">
      <w:pPr>
        <w:pStyle w:val="ListParagraph"/>
        <w:numPr>
          <w:ilvl w:val="1"/>
          <w:numId w:val="43"/>
        </w:numPr>
        <w:spacing w:after="0"/>
        <w:jc w:val="both"/>
      </w:pPr>
      <w:proofErr w:type="spellStart"/>
      <w:r>
        <w:t>dmrs-SeqInitialization</w:t>
      </w:r>
      <w:proofErr w:type="spellEnd"/>
    </w:p>
    <w:p w14:paraId="0C673FBC" w14:textId="3A63E49B" w:rsidR="009A1A16" w:rsidRDefault="009A1A16" w:rsidP="00B65086">
      <w:pPr>
        <w:pStyle w:val="ListParagraph"/>
        <w:numPr>
          <w:ilvl w:val="1"/>
          <w:numId w:val="43"/>
        </w:numPr>
        <w:spacing w:after="0"/>
        <w:jc w:val="both"/>
      </w:pPr>
      <w:proofErr w:type="spellStart"/>
      <w:r>
        <w:t>precodingAndNumberOfLayers</w:t>
      </w:r>
      <w:proofErr w:type="spellEnd"/>
      <w:r>
        <w:t xml:space="preserve"> </w:t>
      </w:r>
    </w:p>
    <w:p w14:paraId="7004D67A" w14:textId="4BDA5309" w:rsidR="009A1A16" w:rsidRDefault="009A1A16" w:rsidP="00B65086">
      <w:pPr>
        <w:pStyle w:val="ListParagraph"/>
        <w:numPr>
          <w:ilvl w:val="1"/>
          <w:numId w:val="43"/>
        </w:numPr>
        <w:spacing w:after="0"/>
        <w:jc w:val="both"/>
      </w:pPr>
      <w:proofErr w:type="spellStart"/>
      <w:r>
        <w:lastRenderedPageBreak/>
        <w:t>srs-ResourceIndicator</w:t>
      </w:r>
      <w:proofErr w:type="spellEnd"/>
    </w:p>
    <w:p w14:paraId="04A4F598" w14:textId="5234BA42" w:rsidR="009A1A16" w:rsidRDefault="009A1A16" w:rsidP="00B65086">
      <w:pPr>
        <w:pStyle w:val="ListParagraph"/>
        <w:numPr>
          <w:ilvl w:val="1"/>
          <w:numId w:val="43"/>
        </w:numPr>
        <w:spacing w:after="0"/>
        <w:jc w:val="both"/>
      </w:pPr>
      <w:proofErr w:type="spellStart"/>
      <w:r>
        <w:t>mcsAndTBS</w:t>
      </w:r>
      <w:proofErr w:type="spellEnd"/>
    </w:p>
    <w:p w14:paraId="476E71A7" w14:textId="32B6CE80" w:rsidR="009A1A16" w:rsidRDefault="009A1A16" w:rsidP="00B65086">
      <w:pPr>
        <w:pStyle w:val="ListParagraph"/>
        <w:numPr>
          <w:ilvl w:val="1"/>
          <w:numId w:val="43"/>
        </w:numPr>
        <w:spacing w:after="0"/>
        <w:jc w:val="both"/>
      </w:pPr>
      <w:proofErr w:type="spellStart"/>
      <w:r>
        <w:t>frequencyHoppingOffset</w:t>
      </w:r>
      <w:proofErr w:type="spellEnd"/>
    </w:p>
    <w:p w14:paraId="6A80BB79" w14:textId="5ADEEE2D" w:rsidR="00476A83" w:rsidRDefault="009A1A16" w:rsidP="00B65086">
      <w:pPr>
        <w:pStyle w:val="ListParagraph"/>
        <w:numPr>
          <w:ilvl w:val="1"/>
          <w:numId w:val="43"/>
        </w:numPr>
        <w:jc w:val="both"/>
      </w:pPr>
      <w:proofErr w:type="spellStart"/>
      <w:r>
        <w:t>pathlossReferenceIndex</w:t>
      </w:r>
      <w:proofErr w:type="spellEnd"/>
    </w:p>
    <w:p w14:paraId="0EA4D5F4" w14:textId="77777777" w:rsidR="001117EB" w:rsidRDefault="009324AC" w:rsidP="00B65086">
      <w:pPr>
        <w:jc w:val="both"/>
      </w:pPr>
      <w:r>
        <w:t>The resulting size of these fields may depend on the configuration for some of them, but, by rough estimation, the overall configuration size of these fields should not exceed 220 bits. This means that by having a group of four CGs we would save around 660 bits, i.e. 82 bytes. This number does not seem to justify the additional complexity of introducing CG configuration groups.</w:t>
      </w:r>
      <w:r w:rsidRPr="009324AC">
        <w:t xml:space="preserve"> </w:t>
      </w:r>
    </w:p>
    <w:p w14:paraId="376C1C8D" w14:textId="567194CE" w:rsidR="001117EB" w:rsidRDefault="00752853" w:rsidP="00B65086">
      <w:pPr>
        <w:jc w:val="both"/>
      </w:pPr>
      <w:r>
        <w:t>Besides, for</w:t>
      </w:r>
      <w:r w:rsidR="001117EB">
        <w:t xml:space="preserve"> Typ</w:t>
      </w:r>
      <w:r w:rsidR="00401785">
        <w:t>e</w:t>
      </w:r>
      <w:r w:rsidR="001117EB">
        <w:t>-2 CG</w:t>
      </w:r>
      <w:r>
        <w:t>s</w:t>
      </w:r>
      <w:r w:rsidR="001117EB">
        <w:t xml:space="preserve">, </w:t>
      </w:r>
      <w:r w:rsidR="00B93DE8">
        <w:t>the</w:t>
      </w:r>
      <w:r w:rsidR="001117EB">
        <w:t xml:space="preserve"> design </w:t>
      </w:r>
      <w:r w:rsidR="00B93DE8">
        <w:t xml:space="preserve">of CG groups </w:t>
      </w:r>
      <w:r w:rsidR="001117EB">
        <w:t xml:space="preserve">will depend on what is agreed in RAN1 on activation DCI for multiple or a group of CG configurations. For instance, to allow joint activation of </w:t>
      </w:r>
      <w:r w:rsidR="001117EB" w:rsidRPr="00C27BE5">
        <w:rPr>
          <w:i/>
        </w:rPr>
        <w:t>N</w:t>
      </w:r>
      <w:r w:rsidR="001117EB">
        <w:t xml:space="preserve"> CG configurations with different time-domain offsets, either the activation DCI needs to be able to signal </w:t>
      </w:r>
      <w:r w:rsidR="001117EB">
        <w:rPr>
          <w:i/>
        </w:rPr>
        <w:t>N</w:t>
      </w:r>
      <w:r w:rsidR="001117EB">
        <w:t xml:space="preserve"> different time-domain allocations (this seems unlikely, given the limited number of bits in the DCI) or a single time-domain allocation is signalled in DCI (as in current specs) but some rules or new fields are defined at RRC configuration level to allow the UE to determine the different time offsets of each of the activated CG configurations. Similar principles would apply to other parameters, e.g. frequency-domain allocation and DM-RS sequences. </w:t>
      </w:r>
      <w:r w:rsidR="001117EB" w:rsidRPr="009C3FF3">
        <w:t xml:space="preserve">Given the </w:t>
      </w:r>
      <w:r w:rsidR="001117EB">
        <w:t>expected high standardization effort (including tight coordination across RAN1 and RAN2 WGs) for this feature which is mainly about pure control overhead reduction (at DCI and/or RRC) and potentially faster activation, we prefer not to support joint Type-2 CG configuration/activation in Release 16.</w:t>
      </w:r>
    </w:p>
    <w:p w14:paraId="2FA8E1DF" w14:textId="762C3D7B" w:rsidR="001117EB" w:rsidRDefault="001117EB" w:rsidP="00C678C8">
      <w:pPr>
        <w:jc w:val="both"/>
      </w:pPr>
      <w:r>
        <w:t>Based on the above analysis, we propose:</w:t>
      </w:r>
    </w:p>
    <w:p w14:paraId="67A4F6A2" w14:textId="2AC7D21F" w:rsidR="009C3FF3" w:rsidRDefault="009C3FF3" w:rsidP="00C678C8">
      <w:pPr>
        <w:jc w:val="both"/>
        <w:rPr>
          <w:b/>
        </w:rPr>
      </w:pPr>
      <w:r>
        <w:rPr>
          <w:b/>
        </w:rPr>
        <w:t xml:space="preserve">Proposal </w:t>
      </w:r>
      <w:r w:rsidR="001920C5">
        <w:rPr>
          <w:b/>
        </w:rPr>
        <w:t>1</w:t>
      </w:r>
      <w:r>
        <w:rPr>
          <w:b/>
        </w:rPr>
        <w:t xml:space="preserve">: </w:t>
      </w:r>
      <w:r w:rsidR="00151D35">
        <w:rPr>
          <w:b/>
        </w:rPr>
        <w:t xml:space="preserve">Do not support </w:t>
      </w:r>
      <w:r w:rsidR="00151D35" w:rsidRPr="00151D35">
        <w:rPr>
          <w:b/>
        </w:rPr>
        <w:t>joint configuration</w:t>
      </w:r>
      <w:r w:rsidR="00151D35">
        <w:rPr>
          <w:b/>
        </w:rPr>
        <w:t xml:space="preserve"> </w:t>
      </w:r>
      <w:r w:rsidR="001920C5">
        <w:rPr>
          <w:b/>
        </w:rPr>
        <w:t xml:space="preserve">(Type-1 and Type-2 CGs) </w:t>
      </w:r>
      <w:r w:rsidR="00151D35">
        <w:rPr>
          <w:b/>
        </w:rPr>
        <w:t xml:space="preserve">and </w:t>
      </w:r>
      <w:r w:rsidR="00151D35" w:rsidRPr="00151D35">
        <w:rPr>
          <w:b/>
        </w:rPr>
        <w:t>activation</w:t>
      </w:r>
      <w:r w:rsidR="00151D35">
        <w:rPr>
          <w:b/>
        </w:rPr>
        <w:t xml:space="preserve"> </w:t>
      </w:r>
      <w:r w:rsidR="001920C5">
        <w:rPr>
          <w:b/>
          <w:lang w:val="en-US"/>
        </w:rPr>
        <w:t>(</w:t>
      </w:r>
      <w:r w:rsidR="00151D35">
        <w:rPr>
          <w:b/>
        </w:rPr>
        <w:t>Type-2</w:t>
      </w:r>
      <w:r w:rsidR="001920C5">
        <w:rPr>
          <w:b/>
        </w:rPr>
        <w:t xml:space="preserve"> CGs)</w:t>
      </w:r>
      <w:r w:rsidR="00151D35">
        <w:rPr>
          <w:b/>
        </w:rPr>
        <w:t xml:space="preserve"> </w:t>
      </w:r>
      <w:r w:rsidR="00C678C8">
        <w:rPr>
          <w:b/>
        </w:rPr>
        <w:t xml:space="preserve">for </w:t>
      </w:r>
      <w:r w:rsidR="00151D35">
        <w:rPr>
          <w:b/>
        </w:rPr>
        <w:t xml:space="preserve">Configured grants due to high standardization efforts and </w:t>
      </w:r>
      <w:r w:rsidR="003D3132">
        <w:rPr>
          <w:b/>
        </w:rPr>
        <w:t>questionable</w:t>
      </w:r>
      <w:r w:rsidR="00151D35">
        <w:rPr>
          <w:b/>
        </w:rPr>
        <w:t xml:space="preserve"> gains</w:t>
      </w:r>
      <w:r>
        <w:rPr>
          <w:b/>
        </w:rPr>
        <w:t xml:space="preserve">. </w:t>
      </w:r>
    </w:p>
    <w:p w14:paraId="3E969159" w14:textId="77777777" w:rsidR="005E1D1D" w:rsidRDefault="00E86CE5" w:rsidP="00E86CE5">
      <w:pPr>
        <w:pStyle w:val="Heading2"/>
        <w:rPr>
          <w:lang w:eastAsia="ko-KR"/>
        </w:rPr>
      </w:pPr>
      <w:r>
        <w:rPr>
          <w:lang w:eastAsia="ko-KR"/>
        </w:rPr>
        <w:t>2.2</w:t>
      </w:r>
      <w:r>
        <w:rPr>
          <w:lang w:eastAsia="ko-KR"/>
        </w:rPr>
        <w:tab/>
      </w:r>
      <w:r w:rsidR="005E1D1D">
        <w:rPr>
          <w:lang w:eastAsia="ko-KR"/>
        </w:rPr>
        <w:t>CG Configuration indexing</w:t>
      </w:r>
    </w:p>
    <w:p w14:paraId="3152DDC6" w14:textId="77777777" w:rsidR="006F6779" w:rsidRPr="008D0F54" w:rsidRDefault="008D0F54" w:rsidP="00596E71">
      <w:pPr>
        <w:jc w:val="both"/>
      </w:pPr>
      <w:r>
        <w:t xml:space="preserve">Some type of indexing will be required to facilitate </w:t>
      </w:r>
      <w:r w:rsidR="006F6779">
        <w:t xml:space="preserve">re-configuration </w:t>
      </w:r>
      <w:r w:rsidR="00337656">
        <w:t>as well as</w:t>
      </w:r>
      <w:r w:rsidR="006F6779">
        <w:t xml:space="preserve"> </w:t>
      </w:r>
      <w:r>
        <w:t>activation</w:t>
      </w:r>
      <w:r w:rsidR="006F6779">
        <w:t>/</w:t>
      </w:r>
      <w:r w:rsidR="000D46C0">
        <w:t>release</w:t>
      </w:r>
      <w:r>
        <w:t xml:space="preserve"> (for Type-2 CG) of individual or a subset of </w:t>
      </w:r>
      <w:r w:rsidR="006F6779">
        <w:t>CG configurations. E</w:t>
      </w:r>
      <w:r w:rsidR="006F6779" w:rsidRPr="008D0F54">
        <w:t xml:space="preserve">ither an explicitly configured CG-ID </w:t>
      </w:r>
      <w:r w:rsidR="0049116D">
        <w:t xml:space="preserve">(e.g. as done for </w:t>
      </w:r>
      <w:r w:rsidR="0049116D" w:rsidRPr="008D0F54">
        <w:t xml:space="preserve">LTE V2X </w:t>
      </w:r>
      <w:r w:rsidR="0049116D">
        <w:t>and</w:t>
      </w:r>
      <w:r w:rsidR="0049116D" w:rsidRPr="008D0F54">
        <w:t xml:space="preserve"> LTE HRLLC</w:t>
      </w:r>
      <w:r w:rsidR="0049116D">
        <w:t xml:space="preserve">) </w:t>
      </w:r>
      <w:r w:rsidR="006F6779" w:rsidRPr="008D0F54">
        <w:t xml:space="preserve">or an implicit ID (e.g. </w:t>
      </w:r>
      <w:r w:rsidR="0049116D">
        <w:t xml:space="preserve">generated </w:t>
      </w:r>
      <w:r w:rsidR="006F6779" w:rsidRPr="008D0F54">
        <w:t xml:space="preserve">in increasing order of the CG configuration) could be </w:t>
      </w:r>
      <w:r w:rsidR="0049116D">
        <w:t>considered</w:t>
      </w:r>
      <w:r w:rsidR="006F6779" w:rsidRPr="008D0F54">
        <w:t xml:space="preserve">. Considering potential re-configuration of overall number of configured grant configurations, we think that having an explicitly configured CG-ID to be the more robust solution. </w:t>
      </w:r>
    </w:p>
    <w:p w14:paraId="5312B19F" w14:textId="4ED4A8F5" w:rsidR="007D1C68" w:rsidRPr="00B65086" w:rsidRDefault="007D1C68">
      <w:pPr>
        <w:jc w:val="both"/>
        <w:rPr>
          <w:b/>
          <w:bCs/>
          <w:lang w:eastAsia="zh-CN"/>
        </w:rPr>
      </w:pPr>
      <w:r w:rsidRPr="002C2FF9">
        <w:rPr>
          <w:b/>
          <w:bCs/>
          <w:lang w:eastAsia="zh-CN"/>
        </w:rPr>
        <w:t xml:space="preserve">Proposal </w:t>
      </w:r>
      <w:r w:rsidR="1C59FD4D" w:rsidRPr="002C2FF9">
        <w:rPr>
          <w:b/>
          <w:bCs/>
          <w:lang w:eastAsia="zh-CN"/>
        </w:rPr>
        <w:t>2</w:t>
      </w:r>
      <w:r w:rsidRPr="002C2FF9">
        <w:rPr>
          <w:b/>
          <w:bCs/>
          <w:lang w:eastAsia="zh-CN"/>
        </w:rPr>
        <w:t xml:space="preserve">: Support an explicitly configurable CG-ID used for indexing a respective CG configuration </w:t>
      </w:r>
      <w:r w:rsidR="00571B23" w:rsidRPr="002C2FF9">
        <w:rPr>
          <w:b/>
          <w:bCs/>
          <w:lang w:eastAsia="zh-CN"/>
        </w:rPr>
        <w:t>to</w:t>
      </w:r>
      <w:r w:rsidRPr="002C2FF9">
        <w:rPr>
          <w:b/>
          <w:bCs/>
          <w:lang w:eastAsia="zh-CN"/>
        </w:rPr>
        <w:t xml:space="preserve"> facilitat</w:t>
      </w:r>
      <w:r w:rsidR="00571B23" w:rsidRPr="002C2FF9">
        <w:rPr>
          <w:b/>
          <w:bCs/>
          <w:lang w:eastAsia="zh-CN"/>
        </w:rPr>
        <w:t>e</w:t>
      </w:r>
      <w:r w:rsidRPr="002C2FF9">
        <w:rPr>
          <w:b/>
          <w:bCs/>
          <w:lang w:eastAsia="zh-CN"/>
        </w:rPr>
        <w:t xml:space="preserve"> re-configuration as well as Type-2 activation / release mechanisms. </w:t>
      </w:r>
    </w:p>
    <w:p w14:paraId="0F34FF8D" w14:textId="4F629399" w:rsidR="00526D3C" w:rsidRPr="00476A83" w:rsidRDefault="0071242D" w:rsidP="00596E71">
      <w:pPr>
        <w:jc w:val="both"/>
        <w:rPr>
          <w:lang w:eastAsia="zh-CN"/>
        </w:rPr>
      </w:pPr>
      <w:r>
        <w:rPr>
          <w:lang w:eastAsia="zh-CN"/>
        </w:rPr>
        <w:t>On a side note, w</w:t>
      </w:r>
      <w:r w:rsidR="00526D3C">
        <w:rPr>
          <w:lang w:eastAsia="zh-CN"/>
        </w:rPr>
        <w:t xml:space="preserve">e would </w:t>
      </w:r>
      <w:r>
        <w:rPr>
          <w:lang w:eastAsia="zh-CN"/>
        </w:rPr>
        <w:t xml:space="preserve">like highlight that such explicit CG-ID also facilitates association of a CG configuration </w:t>
      </w:r>
      <w:r>
        <w:rPr>
          <w:lang w:val="en-US" w:eastAsia="zh-CN"/>
        </w:rPr>
        <w:t xml:space="preserve">to a </w:t>
      </w:r>
      <w:r>
        <w:rPr>
          <w:lang w:eastAsia="zh-CN"/>
        </w:rPr>
        <w:t>logical channel</w:t>
      </w:r>
      <w:r>
        <w:rPr>
          <w:lang w:val="en-US" w:eastAsia="zh-CN"/>
        </w:rPr>
        <w:t xml:space="preserve"> </w:t>
      </w:r>
      <w:r>
        <w:rPr>
          <w:lang w:eastAsia="zh-CN"/>
        </w:rPr>
        <w:t>as described in our companion contribution</w:t>
      </w:r>
      <w:r>
        <w:rPr>
          <w:lang w:val="en-US" w:eastAsia="zh-CN"/>
        </w:rPr>
        <w:t xml:space="preserve"> </w:t>
      </w:r>
      <w:r w:rsidRPr="00B65086">
        <w:rPr>
          <w:lang w:val="en-US" w:eastAsia="zh-CN"/>
        </w:rPr>
        <w:t>[</w:t>
      </w:r>
      <w:r w:rsidR="00B65086" w:rsidRPr="00B65086">
        <w:rPr>
          <w:lang w:val="en-US" w:eastAsia="zh-CN"/>
        </w:rPr>
        <w:t>7</w:t>
      </w:r>
      <w:r w:rsidRPr="00B65086">
        <w:rPr>
          <w:lang w:val="en-US" w:eastAsia="zh-CN"/>
        </w:rPr>
        <w:t>]</w:t>
      </w:r>
      <w:r w:rsidRPr="00B65086">
        <w:t>.</w:t>
      </w:r>
    </w:p>
    <w:p w14:paraId="7F3C6F14" w14:textId="77777777" w:rsidR="007C047C" w:rsidRDefault="00E86CE5" w:rsidP="00E86CE5">
      <w:pPr>
        <w:pStyle w:val="Heading2"/>
        <w:rPr>
          <w:lang w:eastAsia="ko-KR"/>
        </w:rPr>
      </w:pPr>
      <w:r>
        <w:rPr>
          <w:lang w:eastAsia="ko-KR"/>
        </w:rPr>
        <w:t>2.3</w:t>
      </w:r>
      <w:r>
        <w:rPr>
          <w:lang w:eastAsia="ko-KR"/>
        </w:rPr>
        <w:tab/>
      </w:r>
      <w:r w:rsidR="007C047C">
        <w:rPr>
          <w:lang w:eastAsia="ko-KR"/>
        </w:rPr>
        <w:t xml:space="preserve">CG </w:t>
      </w:r>
      <w:r w:rsidR="004B4FDE">
        <w:rPr>
          <w:lang w:eastAsia="ko-KR"/>
        </w:rPr>
        <w:t>activation/</w:t>
      </w:r>
      <w:r w:rsidR="00493478">
        <w:rPr>
          <w:lang w:eastAsia="ko-KR"/>
        </w:rPr>
        <w:t xml:space="preserve">release </w:t>
      </w:r>
      <w:r w:rsidR="007C047C">
        <w:rPr>
          <w:lang w:eastAsia="ko-KR"/>
        </w:rPr>
        <w:t>confirmation</w:t>
      </w:r>
    </w:p>
    <w:p w14:paraId="4C7E4E92" w14:textId="1A3F8994" w:rsidR="00FB37D7" w:rsidRDefault="00493478" w:rsidP="00596E71">
      <w:pPr>
        <w:jc w:val="both"/>
        <w:rPr>
          <w:lang w:eastAsia="zh-CN"/>
        </w:rPr>
      </w:pPr>
      <w:r>
        <w:rPr>
          <w:lang w:eastAsia="zh-CN"/>
        </w:rPr>
        <w:t>In Release 15, a</w:t>
      </w:r>
      <w:r w:rsidR="004B4FDE">
        <w:rPr>
          <w:lang w:eastAsia="zh-CN"/>
        </w:rPr>
        <w:t xml:space="preserve">ctivation </w:t>
      </w:r>
      <w:r>
        <w:rPr>
          <w:lang w:eastAsia="zh-CN"/>
        </w:rPr>
        <w:t xml:space="preserve">or release </w:t>
      </w:r>
      <w:r w:rsidR="004B4FDE">
        <w:rPr>
          <w:lang w:eastAsia="zh-CN"/>
        </w:rPr>
        <w:t xml:space="preserve">of </w:t>
      </w:r>
      <w:r w:rsidR="00A85831">
        <w:rPr>
          <w:lang w:eastAsia="zh-CN"/>
        </w:rPr>
        <w:t xml:space="preserve">Type-2 </w:t>
      </w:r>
      <w:r w:rsidR="004B4FDE" w:rsidRPr="004B4FDE">
        <w:rPr>
          <w:lang w:eastAsia="zh-CN"/>
        </w:rPr>
        <w:t xml:space="preserve">Configured Grant </w:t>
      </w:r>
      <w:r w:rsidR="004B4FDE">
        <w:rPr>
          <w:lang w:eastAsia="zh-CN"/>
        </w:rPr>
        <w:t>is confirmed by the UE using MAC CE with a fixed size of 0 bits</w:t>
      </w:r>
      <w:r w:rsidR="001E55A8">
        <w:rPr>
          <w:lang w:eastAsia="zh-CN"/>
        </w:rPr>
        <w:t>.</w:t>
      </w:r>
      <w:r w:rsidR="004B4FDE">
        <w:rPr>
          <w:lang w:eastAsia="zh-CN"/>
        </w:rPr>
        <w:t xml:space="preserve"> </w:t>
      </w:r>
      <w:r w:rsidR="001E55A8">
        <w:rPr>
          <w:lang w:eastAsia="zh-CN"/>
        </w:rPr>
        <w:t xml:space="preserve">This </w:t>
      </w:r>
      <w:r w:rsidR="004B4FDE">
        <w:rPr>
          <w:lang w:eastAsia="zh-CN"/>
        </w:rPr>
        <w:t xml:space="preserve">was </w:t>
      </w:r>
      <w:proofErr w:type="gramStart"/>
      <w:r w:rsidR="004B4FDE">
        <w:rPr>
          <w:lang w:eastAsia="zh-CN"/>
        </w:rPr>
        <w:t>sufficient</w:t>
      </w:r>
      <w:proofErr w:type="gramEnd"/>
      <w:r w:rsidR="004B4FDE">
        <w:rPr>
          <w:lang w:eastAsia="zh-CN"/>
        </w:rPr>
        <w:t xml:space="preserve"> in case there was only a single CG configurable in the UE. However, with </w:t>
      </w:r>
      <w:r w:rsidR="001E55A8">
        <w:rPr>
          <w:lang w:eastAsia="zh-CN"/>
        </w:rPr>
        <w:t xml:space="preserve">the </w:t>
      </w:r>
      <w:r w:rsidR="004B4FDE">
        <w:rPr>
          <w:lang w:eastAsia="zh-CN"/>
        </w:rPr>
        <w:t xml:space="preserve">introduction of multiple </w:t>
      </w:r>
      <w:r w:rsidR="001E55A8">
        <w:rPr>
          <w:lang w:eastAsia="zh-CN"/>
        </w:rPr>
        <w:t>CG configurations, UE should have a possibility to indicate, which of them it activated/</w:t>
      </w:r>
      <w:r w:rsidR="000D46C0">
        <w:rPr>
          <w:lang w:eastAsia="zh-CN"/>
        </w:rPr>
        <w:t>released</w:t>
      </w:r>
      <w:r w:rsidR="001E55A8">
        <w:rPr>
          <w:lang w:eastAsia="zh-CN"/>
        </w:rPr>
        <w:t xml:space="preserve"> to avoid confusion in case multiple CG configurations are activated in a row. </w:t>
      </w:r>
      <w:r w:rsidR="00FB37D7">
        <w:rPr>
          <w:lang w:eastAsia="zh-CN"/>
        </w:rPr>
        <w:t xml:space="preserve">Such indication could be done </w:t>
      </w:r>
      <w:r w:rsidR="005D1AD5">
        <w:rPr>
          <w:lang w:eastAsia="zh-CN"/>
        </w:rPr>
        <w:t>per</w:t>
      </w:r>
      <w:r w:rsidR="00FB37D7">
        <w:rPr>
          <w:lang w:eastAsia="zh-CN"/>
        </w:rPr>
        <w:t xml:space="preserve"> individual CG or for multiple CGs are follows:</w:t>
      </w:r>
    </w:p>
    <w:p w14:paraId="24991E11" w14:textId="1DAD09A1" w:rsidR="007C047C" w:rsidRDefault="00FB37D7" w:rsidP="00596E71">
      <w:pPr>
        <w:numPr>
          <w:ilvl w:val="0"/>
          <w:numId w:val="39"/>
        </w:numPr>
        <w:jc w:val="both"/>
        <w:rPr>
          <w:lang w:eastAsia="zh-CN"/>
        </w:rPr>
      </w:pPr>
      <w:r w:rsidRPr="00B65086">
        <w:rPr>
          <w:b/>
          <w:lang w:eastAsia="zh-CN"/>
        </w:rPr>
        <w:t>Single-CG confirmation:</w:t>
      </w:r>
      <w:r>
        <w:rPr>
          <w:lang w:eastAsia="zh-CN"/>
        </w:rPr>
        <w:t xml:space="preserve"> The MAC CE contains an explicit index to the CG configuration that is confirmed. </w:t>
      </w:r>
      <w:r w:rsidR="00861A88">
        <w:rPr>
          <w:lang w:eastAsia="zh-CN"/>
        </w:rPr>
        <w:t>Such explicit index</w:t>
      </w:r>
      <w:r>
        <w:rPr>
          <w:lang w:eastAsia="zh-CN"/>
        </w:rPr>
        <w:t xml:space="preserve"> requires </w:t>
      </w:r>
      <w:r w:rsidR="005D1AD5">
        <w:rPr>
          <w:lang w:eastAsia="zh-CN"/>
        </w:rPr>
        <w:t>at most ceil(</w:t>
      </w:r>
      <w:r>
        <w:rPr>
          <w:lang w:eastAsia="zh-CN"/>
        </w:rPr>
        <w:t>log2(</w:t>
      </w:r>
      <w:r w:rsidR="003203AC">
        <w:rPr>
          <w:lang w:eastAsia="zh-CN"/>
        </w:rPr>
        <w:t>M</w:t>
      </w:r>
      <w:r>
        <w:rPr>
          <w:lang w:eastAsia="zh-CN"/>
        </w:rPr>
        <w:t>)</w:t>
      </w:r>
      <w:r w:rsidR="005D1AD5">
        <w:rPr>
          <w:lang w:eastAsia="zh-CN"/>
        </w:rPr>
        <w:t>)</w:t>
      </w:r>
      <w:r>
        <w:rPr>
          <w:lang w:eastAsia="zh-CN"/>
        </w:rPr>
        <w:t xml:space="preserve"> bits</w:t>
      </w:r>
      <w:r w:rsidR="002C2FF9">
        <w:rPr>
          <w:lang w:eastAsia="zh-CN"/>
        </w:rPr>
        <w:t xml:space="preserve">, where M is the maximum number of </w:t>
      </w:r>
      <w:r w:rsidR="005D1AD5" w:rsidRPr="005D1AD5">
        <w:rPr>
          <w:lang w:eastAsia="zh-CN"/>
        </w:rPr>
        <w:t>UL CG configurations per BWP</w:t>
      </w:r>
      <w:r w:rsidR="005D1AD5">
        <w:rPr>
          <w:lang w:eastAsia="zh-CN"/>
        </w:rPr>
        <w:t xml:space="preserve">. </w:t>
      </w:r>
    </w:p>
    <w:p w14:paraId="212342A7" w14:textId="12571B37" w:rsidR="005D1AD5" w:rsidRDefault="005D1AD5" w:rsidP="00596E71">
      <w:pPr>
        <w:numPr>
          <w:ilvl w:val="0"/>
          <w:numId w:val="39"/>
        </w:numPr>
        <w:jc w:val="both"/>
        <w:rPr>
          <w:lang w:eastAsia="zh-CN"/>
        </w:rPr>
      </w:pPr>
      <w:r w:rsidRPr="00B65086">
        <w:rPr>
          <w:b/>
          <w:lang w:eastAsia="zh-CN"/>
        </w:rPr>
        <w:t>Multi-CG confirmation:</w:t>
      </w:r>
      <w:r w:rsidR="004B6523">
        <w:rPr>
          <w:lang w:eastAsia="zh-CN"/>
        </w:rPr>
        <w:t xml:space="preserve"> </w:t>
      </w:r>
      <w:r w:rsidR="00B91367">
        <w:rPr>
          <w:lang w:eastAsia="zh-CN"/>
        </w:rPr>
        <w:t xml:space="preserve">The MAC CE contains a bitmap </w:t>
      </w:r>
      <w:r w:rsidR="004B6523">
        <w:rPr>
          <w:lang w:eastAsia="zh-CN"/>
        </w:rPr>
        <w:t xml:space="preserve">of at most </w:t>
      </w:r>
      <w:r w:rsidR="002C2FF9">
        <w:rPr>
          <w:lang w:eastAsia="zh-CN"/>
        </w:rPr>
        <w:t xml:space="preserve">M </w:t>
      </w:r>
      <w:r w:rsidR="004B6523">
        <w:rPr>
          <w:lang w:eastAsia="zh-CN"/>
        </w:rPr>
        <w:t>bits, i.e. 1 bit per CG configuration.</w:t>
      </w:r>
    </w:p>
    <w:p w14:paraId="60C0B74A" w14:textId="128DA9D7" w:rsidR="006D2D1F" w:rsidRDefault="003203AC" w:rsidP="00596E71">
      <w:pPr>
        <w:jc w:val="both"/>
        <w:rPr>
          <w:lang w:eastAsia="zh-CN"/>
        </w:rPr>
      </w:pPr>
      <w:r>
        <w:rPr>
          <w:lang w:eastAsia="zh-CN"/>
        </w:rPr>
        <w:t xml:space="preserve">In accordance with the recent RAN1 agreement of supporting up to 12 </w:t>
      </w:r>
      <w:r w:rsidRPr="005D1AD5">
        <w:rPr>
          <w:lang w:eastAsia="zh-CN"/>
        </w:rPr>
        <w:t>UL CG configurations per BWP</w:t>
      </w:r>
      <w:r>
        <w:rPr>
          <w:lang w:eastAsia="zh-CN"/>
        </w:rPr>
        <w:t xml:space="preserve">, Option 1 </w:t>
      </w:r>
      <w:r w:rsidR="006D2D1F">
        <w:rPr>
          <w:lang w:eastAsia="zh-CN"/>
        </w:rPr>
        <w:t>would require 4 bits whereas Option 2 requires 12 bits. However, a</w:t>
      </w:r>
      <w:r w:rsidR="00861A88">
        <w:rPr>
          <w:lang w:eastAsia="zh-CN"/>
        </w:rPr>
        <w:t xml:space="preserve">s the MAC CE payloads are typically one or an integer number of octets, </w:t>
      </w:r>
      <w:r w:rsidR="006D2D1F">
        <w:rPr>
          <w:lang w:eastAsia="zh-CN"/>
        </w:rPr>
        <w:t>Option</w:t>
      </w:r>
      <w:r w:rsidR="00861A88">
        <w:rPr>
          <w:lang w:eastAsia="zh-CN"/>
        </w:rPr>
        <w:t xml:space="preserve"> 1 would require </w:t>
      </w:r>
      <w:r w:rsidR="006D2D1F">
        <w:rPr>
          <w:lang w:eastAsia="zh-CN"/>
        </w:rPr>
        <w:t xml:space="preserve">in practice </w:t>
      </w:r>
      <w:r w:rsidR="00861A88">
        <w:rPr>
          <w:lang w:eastAsia="zh-CN"/>
        </w:rPr>
        <w:t xml:space="preserve">adding </w:t>
      </w:r>
      <w:r w:rsidR="0002728C">
        <w:rPr>
          <w:lang w:eastAsia="zh-CN"/>
        </w:rPr>
        <w:t xml:space="preserve">to the MAC CE </w:t>
      </w:r>
      <w:r w:rsidR="00861A88">
        <w:rPr>
          <w:lang w:eastAsia="zh-CN"/>
        </w:rPr>
        <w:t xml:space="preserve">8 bits </w:t>
      </w:r>
      <w:r w:rsidR="0002728C">
        <w:rPr>
          <w:lang w:eastAsia="zh-CN"/>
        </w:rPr>
        <w:t xml:space="preserve">payload </w:t>
      </w:r>
      <w:r w:rsidR="00861A88">
        <w:rPr>
          <w:lang w:eastAsia="zh-CN"/>
        </w:rPr>
        <w:t xml:space="preserve">for CG indexing (even though only 4 bits are </w:t>
      </w:r>
      <w:proofErr w:type="gramStart"/>
      <w:r w:rsidR="00861A88">
        <w:rPr>
          <w:lang w:eastAsia="zh-CN"/>
        </w:rPr>
        <w:t>actually used</w:t>
      </w:r>
      <w:proofErr w:type="gramEnd"/>
      <w:r w:rsidR="00861A88">
        <w:rPr>
          <w:lang w:eastAsia="zh-CN"/>
        </w:rPr>
        <w:t xml:space="preserve">) on top of the 8 bits for R/LCID header fields, i.e. 16 bits in total. Option 2 instead may </w:t>
      </w:r>
      <w:r w:rsidR="0029455A">
        <w:rPr>
          <w:lang w:eastAsia="zh-CN"/>
        </w:rPr>
        <w:t xml:space="preserve">instead </w:t>
      </w:r>
      <w:r w:rsidR="00861A88">
        <w:rPr>
          <w:lang w:eastAsia="zh-CN"/>
        </w:rPr>
        <w:t xml:space="preserve">require 16 bits (2 octets) for the CG bitmap on top of the 8 bits for R/LCID header fields, i.e. 24 bits in total. </w:t>
      </w:r>
    </w:p>
    <w:p w14:paraId="5C447BAE" w14:textId="77777777" w:rsidR="004B6523" w:rsidRDefault="0002728C" w:rsidP="00596E71">
      <w:pPr>
        <w:jc w:val="both"/>
        <w:rPr>
          <w:lang w:eastAsia="zh-CN"/>
        </w:rPr>
      </w:pPr>
      <w:r>
        <w:rPr>
          <w:lang w:eastAsia="zh-CN"/>
        </w:rPr>
        <w:lastRenderedPageBreak/>
        <w:t xml:space="preserve">When comparing the two options, </w:t>
      </w:r>
      <w:r w:rsidR="006D2D1F">
        <w:rPr>
          <w:lang w:eastAsia="zh-CN"/>
        </w:rPr>
        <w:t xml:space="preserve">Option 2 has </w:t>
      </w:r>
      <w:r>
        <w:rPr>
          <w:lang w:eastAsia="zh-CN"/>
        </w:rPr>
        <w:t xml:space="preserve">33% additional control overhead if used for confirming a single CG configuration, whereas overall control overhead is smaller when confirming 2 or more CG configurations. </w:t>
      </w:r>
      <w:r w:rsidR="0029455A">
        <w:rPr>
          <w:lang w:eastAsia="zh-CN"/>
        </w:rPr>
        <w:t xml:space="preserve">We believe that </w:t>
      </w:r>
      <w:r>
        <w:rPr>
          <w:lang w:eastAsia="zh-CN"/>
        </w:rPr>
        <w:t xml:space="preserve">Multi-CG confirmation is overall the most flexible and efficient solution. </w:t>
      </w:r>
    </w:p>
    <w:p w14:paraId="4A49AE55" w14:textId="145703E6" w:rsidR="00B7277B" w:rsidRPr="0029455A" w:rsidRDefault="00E67FAC" w:rsidP="00596E71">
      <w:pPr>
        <w:jc w:val="both"/>
        <w:rPr>
          <w:lang w:val="en-US" w:eastAsia="zh-CN"/>
        </w:rPr>
      </w:pPr>
      <w:r>
        <w:rPr>
          <w:lang w:val="en-US" w:eastAsia="zh-CN"/>
        </w:rPr>
        <w:t>Note that t</w:t>
      </w:r>
      <w:r w:rsidR="00B7277B">
        <w:rPr>
          <w:lang w:val="en-US" w:eastAsia="zh-CN"/>
        </w:rPr>
        <w:t xml:space="preserve">he reason for supporting joint confirmation and not joint activation is because the former </w:t>
      </w:r>
      <w:r w:rsidR="000B211A">
        <w:rPr>
          <w:lang w:val="en-US" w:eastAsia="zh-CN"/>
        </w:rPr>
        <w:t xml:space="preserve">requires </w:t>
      </w:r>
      <w:r w:rsidR="00B7277B">
        <w:rPr>
          <w:lang w:val="en-US" w:eastAsia="zh-CN"/>
        </w:rPr>
        <w:t xml:space="preserve">changes to specification </w:t>
      </w:r>
      <w:r w:rsidR="00A769B0">
        <w:rPr>
          <w:lang w:val="en-US" w:eastAsia="zh-CN"/>
        </w:rPr>
        <w:t>regardless of how the final agreed solution looks like</w:t>
      </w:r>
      <w:r w:rsidR="00B7277B">
        <w:rPr>
          <w:lang w:val="en-US" w:eastAsia="zh-CN"/>
        </w:rPr>
        <w:t xml:space="preserve">, </w:t>
      </w:r>
      <w:r w:rsidR="00A769B0">
        <w:rPr>
          <w:lang w:val="en-US" w:eastAsia="zh-CN"/>
        </w:rPr>
        <w:t xml:space="preserve">whereas </w:t>
      </w:r>
      <w:r w:rsidR="00B7277B">
        <w:rPr>
          <w:lang w:val="en-US" w:eastAsia="zh-CN"/>
        </w:rPr>
        <w:t>the la</w:t>
      </w:r>
      <w:r w:rsidR="00A769B0">
        <w:rPr>
          <w:lang w:val="en-US" w:eastAsia="zh-CN"/>
        </w:rPr>
        <w:t>t</w:t>
      </w:r>
      <w:r w:rsidR="00B7277B">
        <w:rPr>
          <w:lang w:val="en-US" w:eastAsia="zh-CN"/>
        </w:rPr>
        <w:t>ter</w:t>
      </w:r>
      <w:r w:rsidR="00A769B0">
        <w:rPr>
          <w:lang w:val="en-US" w:eastAsia="zh-CN"/>
        </w:rPr>
        <w:t xml:space="preserve"> is an optional feature meant for control overhead </w:t>
      </w:r>
      <w:r w:rsidR="00B7277B">
        <w:rPr>
          <w:lang w:val="en-US" w:eastAsia="zh-CN"/>
        </w:rPr>
        <w:t>improvement</w:t>
      </w:r>
      <w:r w:rsidR="00A769B0">
        <w:rPr>
          <w:lang w:val="en-US" w:eastAsia="zh-CN"/>
        </w:rPr>
        <w:t>s</w:t>
      </w:r>
      <w:r w:rsidR="00B7277B">
        <w:rPr>
          <w:lang w:val="en-US" w:eastAsia="zh-CN"/>
        </w:rPr>
        <w:t>.</w:t>
      </w:r>
    </w:p>
    <w:p w14:paraId="07B1D0D8" w14:textId="32BBC986" w:rsidR="001E55A8" w:rsidRPr="00B65086" w:rsidRDefault="001E55A8">
      <w:pPr>
        <w:jc w:val="both"/>
        <w:rPr>
          <w:b/>
          <w:bCs/>
          <w:lang w:eastAsia="zh-CN"/>
        </w:rPr>
      </w:pPr>
      <w:r w:rsidRPr="002C2FF9">
        <w:rPr>
          <w:b/>
          <w:bCs/>
          <w:lang w:eastAsia="zh-CN"/>
        </w:rPr>
        <w:t xml:space="preserve">Proposal </w:t>
      </w:r>
      <w:r w:rsidR="3EA6F2C5" w:rsidRPr="002C2FF9">
        <w:rPr>
          <w:b/>
          <w:bCs/>
          <w:lang w:eastAsia="zh-CN"/>
        </w:rPr>
        <w:t>3</w:t>
      </w:r>
      <w:r w:rsidRPr="002C2FF9">
        <w:rPr>
          <w:b/>
          <w:bCs/>
          <w:lang w:eastAsia="zh-CN"/>
        </w:rPr>
        <w:t>: CG activation/</w:t>
      </w:r>
      <w:r w:rsidR="000D46C0" w:rsidRPr="002C2FF9">
        <w:rPr>
          <w:b/>
          <w:bCs/>
          <w:lang w:eastAsia="zh-CN"/>
        </w:rPr>
        <w:t>release</w:t>
      </w:r>
      <w:r w:rsidRPr="002C2FF9">
        <w:rPr>
          <w:b/>
          <w:bCs/>
          <w:lang w:eastAsia="zh-CN"/>
        </w:rPr>
        <w:t xml:space="preserve"> confirmation MAC CE should </w:t>
      </w:r>
      <w:r w:rsidR="0002728C" w:rsidRPr="002C2FF9">
        <w:rPr>
          <w:b/>
          <w:bCs/>
          <w:lang w:eastAsia="zh-CN"/>
        </w:rPr>
        <w:t>allow confirmation of multiple CG configurations simultaneously. One option is to include a bitmap</w:t>
      </w:r>
      <w:r w:rsidRPr="002C2FF9">
        <w:rPr>
          <w:b/>
          <w:bCs/>
          <w:lang w:eastAsia="zh-CN"/>
        </w:rPr>
        <w:t xml:space="preserve"> </w:t>
      </w:r>
      <w:r w:rsidR="0002728C" w:rsidRPr="002C2FF9">
        <w:rPr>
          <w:b/>
          <w:bCs/>
          <w:lang w:eastAsia="zh-CN"/>
        </w:rPr>
        <w:t>of 1 bit per CG configuration in the MAC CE payload</w:t>
      </w:r>
      <w:r w:rsidRPr="002C2FF9">
        <w:rPr>
          <w:b/>
          <w:bCs/>
          <w:lang w:eastAsia="zh-CN"/>
        </w:rPr>
        <w:t>.</w:t>
      </w:r>
    </w:p>
    <w:p w14:paraId="4BA59967" w14:textId="77777777" w:rsidR="00136DDE" w:rsidRPr="003D5EA7" w:rsidRDefault="00E86CE5" w:rsidP="00E86CE5">
      <w:pPr>
        <w:pStyle w:val="Heading1"/>
      </w:pPr>
      <w:r>
        <w:t>3</w:t>
      </w:r>
      <w:r w:rsidR="001F5D21" w:rsidRPr="009A695D">
        <w:tab/>
      </w:r>
      <w:r w:rsidR="00136DDE" w:rsidRPr="003D5EA7">
        <w:t>Conclusions</w:t>
      </w:r>
    </w:p>
    <w:p w14:paraId="2AFAE155" w14:textId="692EEA86" w:rsidR="00136DDE" w:rsidRDefault="00334FBF" w:rsidP="00596E71">
      <w:pPr>
        <w:jc w:val="both"/>
        <w:rPr>
          <w:lang w:val="en-US"/>
        </w:rPr>
      </w:pPr>
      <w:bookmarkStart w:id="1" w:name="_Hlk4509085"/>
      <w:r>
        <w:rPr>
          <w:lang w:val="en-US"/>
        </w:rPr>
        <w:t>We have made the following observations in this paper:</w:t>
      </w:r>
    </w:p>
    <w:p w14:paraId="52CB23F6" w14:textId="77777777" w:rsidR="00334FBF" w:rsidRPr="00FB74D4" w:rsidRDefault="00334FBF" w:rsidP="00334FBF">
      <w:pPr>
        <w:jc w:val="both"/>
        <w:rPr>
          <w:b/>
        </w:rPr>
      </w:pPr>
      <w:r w:rsidRPr="00A16B82">
        <w:rPr>
          <w:b/>
        </w:rPr>
        <w:t xml:space="preserve">Observation 1: To support different uplink traffic flows within the same UE (e.g. having different payload sizes, time offset, periodicities and/or reliability requirements), independent RRC configuration of each CG together with independent activation and </w:t>
      </w:r>
      <w:r>
        <w:rPr>
          <w:b/>
        </w:rPr>
        <w:t>release</w:t>
      </w:r>
      <w:r w:rsidRPr="00A16B82">
        <w:rPr>
          <w:b/>
        </w:rPr>
        <w:t xml:space="preserve"> for Type-2 CGs is preferred.</w:t>
      </w:r>
    </w:p>
    <w:p w14:paraId="6977E2AE" w14:textId="77777777" w:rsidR="00334FBF" w:rsidRDefault="00334FBF" w:rsidP="00334FBF">
      <w:pPr>
        <w:jc w:val="both"/>
      </w:pPr>
      <w:r w:rsidRPr="00DD7D01">
        <w:rPr>
          <w:b/>
        </w:rPr>
        <w:t>Observation</w:t>
      </w:r>
      <w:r>
        <w:rPr>
          <w:b/>
        </w:rPr>
        <w:t xml:space="preserve"> 2</w:t>
      </w:r>
      <w:r w:rsidRPr="00DD7D01">
        <w:rPr>
          <w:b/>
        </w:rPr>
        <w:t xml:space="preserve">: CG configuration groups </w:t>
      </w:r>
      <w:r>
        <w:rPr>
          <w:b/>
        </w:rPr>
        <w:t>are mainly relevant</w:t>
      </w:r>
      <w:r w:rsidRPr="00DD7D01">
        <w:rPr>
          <w:b/>
        </w:rPr>
        <w:t xml:space="preserve"> to improve reliability</w:t>
      </w:r>
      <w:r>
        <w:rPr>
          <w:b/>
        </w:rPr>
        <w:t xml:space="preserve"> and/or</w:t>
      </w:r>
      <w:r w:rsidRPr="00DD7D01">
        <w:rPr>
          <w:b/>
        </w:rPr>
        <w:t xml:space="preserve"> decrease latency </w:t>
      </w:r>
      <w:r>
        <w:rPr>
          <w:b/>
        </w:rPr>
        <w:t>of a single service, or to serve applications with non-integer periodicities</w:t>
      </w:r>
      <w:r w:rsidRPr="00DD7D01">
        <w:rPr>
          <w:b/>
        </w:rPr>
        <w:t xml:space="preserve">. </w:t>
      </w:r>
    </w:p>
    <w:p w14:paraId="75A33658" w14:textId="38F47750" w:rsidR="004E0013" w:rsidRDefault="00334FBF" w:rsidP="00136DDE">
      <w:pPr>
        <w:rPr>
          <w:lang w:val="en-US"/>
        </w:rPr>
      </w:pPr>
      <w:r>
        <w:rPr>
          <w:lang w:val="en-US"/>
        </w:rPr>
        <w:t>With further analysis and discussions, the following are proposed:</w:t>
      </w:r>
    </w:p>
    <w:p w14:paraId="52453153" w14:textId="77777777" w:rsidR="00334FBF" w:rsidRDefault="00334FBF" w:rsidP="00334FBF">
      <w:pPr>
        <w:jc w:val="both"/>
        <w:rPr>
          <w:b/>
        </w:rPr>
      </w:pPr>
      <w:r>
        <w:rPr>
          <w:b/>
        </w:rPr>
        <w:t xml:space="preserve">Proposal 1: Do not support </w:t>
      </w:r>
      <w:r w:rsidRPr="00151D35">
        <w:rPr>
          <w:b/>
        </w:rPr>
        <w:t>joint configuration</w:t>
      </w:r>
      <w:r>
        <w:rPr>
          <w:b/>
        </w:rPr>
        <w:t xml:space="preserve"> (Type-1 and Type-2 CGs) and </w:t>
      </w:r>
      <w:r w:rsidRPr="00151D35">
        <w:rPr>
          <w:b/>
        </w:rPr>
        <w:t>activation</w:t>
      </w:r>
      <w:r>
        <w:rPr>
          <w:b/>
        </w:rPr>
        <w:t xml:space="preserve"> </w:t>
      </w:r>
      <w:r>
        <w:rPr>
          <w:b/>
          <w:lang w:val="en-US"/>
        </w:rPr>
        <w:t>(</w:t>
      </w:r>
      <w:r>
        <w:rPr>
          <w:b/>
        </w:rPr>
        <w:t xml:space="preserve">Type-2 CGs) for Configured grants due to high standardization efforts and questionable gains. </w:t>
      </w:r>
    </w:p>
    <w:p w14:paraId="23965E47" w14:textId="5FB963FC" w:rsidR="00334FBF" w:rsidRPr="009C5DFC" w:rsidRDefault="00334FBF" w:rsidP="00334FBF">
      <w:pPr>
        <w:jc w:val="both"/>
        <w:rPr>
          <w:b/>
          <w:bCs/>
          <w:lang w:eastAsia="zh-CN"/>
        </w:rPr>
      </w:pPr>
      <w:r w:rsidRPr="002C2FF9">
        <w:rPr>
          <w:b/>
          <w:bCs/>
          <w:lang w:eastAsia="zh-CN"/>
        </w:rPr>
        <w:t xml:space="preserve">Proposal 2: Support an explicitly configurable CG-ID used for indexing a respective CG configuration to facilitate re-configuration as well as Type-2 activation / release mechanisms. </w:t>
      </w:r>
    </w:p>
    <w:p w14:paraId="5C282160" w14:textId="77777777" w:rsidR="00334FBF" w:rsidRPr="009C5DFC" w:rsidRDefault="00334FBF" w:rsidP="00334FBF">
      <w:pPr>
        <w:jc w:val="both"/>
        <w:rPr>
          <w:b/>
          <w:bCs/>
          <w:lang w:eastAsia="zh-CN"/>
        </w:rPr>
      </w:pPr>
      <w:r w:rsidRPr="002C2FF9">
        <w:rPr>
          <w:b/>
          <w:bCs/>
          <w:lang w:eastAsia="zh-CN"/>
        </w:rPr>
        <w:t>Proposal 3: CG activation/release confirmation MAC CE should allow confirmation of multiple CG configurations simultaneously. One option is to include a bitmap of 1 bit per CG configuration in the MAC CE payload.</w:t>
      </w:r>
    </w:p>
    <w:p w14:paraId="15921BF2" w14:textId="77777777" w:rsidR="00334FBF" w:rsidRDefault="00334FBF" w:rsidP="00136DDE">
      <w:pPr>
        <w:rPr>
          <w:lang w:val="en-US"/>
        </w:rPr>
      </w:pPr>
    </w:p>
    <w:bookmarkEnd w:id="1"/>
    <w:p w14:paraId="1168BE37" w14:textId="77777777" w:rsidR="00136DDE" w:rsidRPr="003D5EA7" w:rsidRDefault="00136DDE" w:rsidP="00136DDE">
      <w:pPr>
        <w:pStyle w:val="Heading1"/>
        <w:ind w:left="0" w:firstLine="0"/>
      </w:pPr>
      <w:r w:rsidRPr="003D5EA7">
        <w:t>References</w:t>
      </w:r>
    </w:p>
    <w:p w14:paraId="7A55FB59" w14:textId="77777777" w:rsidR="00711386" w:rsidRDefault="00711386" w:rsidP="00711386">
      <w:pPr>
        <w:numPr>
          <w:ilvl w:val="0"/>
          <w:numId w:val="10"/>
        </w:numPr>
        <w:overflowPunct w:val="0"/>
        <w:autoSpaceDE w:val="0"/>
        <w:autoSpaceDN w:val="0"/>
        <w:adjustRightInd w:val="0"/>
        <w:textAlignment w:val="baseline"/>
        <w:rPr>
          <w:lang w:val="en-US"/>
        </w:rPr>
      </w:pPr>
      <w:bookmarkStart w:id="2" w:name="_Ref75086397"/>
      <w:r>
        <w:rPr>
          <w:lang w:val="en-US"/>
        </w:rPr>
        <w:t xml:space="preserve">RP-190728, </w:t>
      </w:r>
      <w:r w:rsidRPr="000014F7">
        <w:rPr>
          <w:i/>
          <w:lang w:val="en-US"/>
        </w:rPr>
        <w:t>New WID: Support of NR Industrial Internet of Things (IoT),</w:t>
      </w:r>
      <w:r>
        <w:rPr>
          <w:lang w:val="en-US"/>
        </w:rPr>
        <w:t xml:space="preserve"> Nokia, Nokia Shanghai Bell, Mar. 2019.</w:t>
      </w:r>
      <w:bookmarkEnd w:id="2"/>
    </w:p>
    <w:p w14:paraId="4F988E73" w14:textId="77777777" w:rsidR="00711386" w:rsidRDefault="00711386" w:rsidP="00711386">
      <w:pPr>
        <w:numPr>
          <w:ilvl w:val="0"/>
          <w:numId w:val="10"/>
        </w:numPr>
        <w:overflowPunct w:val="0"/>
        <w:autoSpaceDE w:val="0"/>
        <w:autoSpaceDN w:val="0"/>
        <w:adjustRightInd w:val="0"/>
        <w:textAlignment w:val="baseline"/>
        <w:rPr>
          <w:lang w:val="en-US"/>
        </w:rPr>
      </w:pPr>
      <w:r>
        <w:rPr>
          <w:lang w:val="en-US"/>
        </w:rPr>
        <w:t xml:space="preserve">R2-1905473, </w:t>
      </w:r>
      <w:r w:rsidRPr="00F8241D">
        <w:rPr>
          <w:i/>
          <w:lang w:val="en-US"/>
        </w:rPr>
        <w:t xml:space="preserve">LS on SPS/CG for </w:t>
      </w:r>
      <w:proofErr w:type="spellStart"/>
      <w:r w:rsidRPr="00F8241D">
        <w:rPr>
          <w:i/>
          <w:lang w:val="en-US"/>
        </w:rPr>
        <w:t>IIoT</w:t>
      </w:r>
      <w:proofErr w:type="spellEnd"/>
      <w:r>
        <w:rPr>
          <w:lang w:val="en-US"/>
        </w:rPr>
        <w:t>, TSG RAN WG2, April 2019.</w:t>
      </w:r>
    </w:p>
    <w:p w14:paraId="2A9DBB34" w14:textId="77777777" w:rsidR="00711386" w:rsidRDefault="00711386" w:rsidP="00711386">
      <w:pPr>
        <w:numPr>
          <w:ilvl w:val="0"/>
          <w:numId w:val="10"/>
        </w:numPr>
        <w:overflowPunct w:val="0"/>
        <w:autoSpaceDE w:val="0"/>
        <w:autoSpaceDN w:val="0"/>
        <w:adjustRightInd w:val="0"/>
        <w:textAlignment w:val="baseline"/>
        <w:rPr>
          <w:lang w:val="en-US"/>
        </w:rPr>
      </w:pPr>
      <w:r>
        <w:rPr>
          <w:lang w:val="en-US"/>
        </w:rPr>
        <w:t xml:space="preserve">R1-1907961, </w:t>
      </w:r>
      <w:r w:rsidRPr="00F8241D">
        <w:rPr>
          <w:i/>
          <w:lang w:val="en-US"/>
        </w:rPr>
        <w:t xml:space="preserve">Reply LS on SPS/CG for </w:t>
      </w:r>
      <w:proofErr w:type="spellStart"/>
      <w:r w:rsidRPr="00F8241D">
        <w:rPr>
          <w:i/>
          <w:lang w:val="en-US"/>
        </w:rPr>
        <w:t>IIoT</w:t>
      </w:r>
      <w:proofErr w:type="spellEnd"/>
      <w:r>
        <w:rPr>
          <w:lang w:val="en-US"/>
        </w:rPr>
        <w:t>, TSG RAN WG1, May 2019.</w:t>
      </w:r>
    </w:p>
    <w:p w14:paraId="0023832D" w14:textId="77777777" w:rsidR="00711386" w:rsidRPr="004C7BE9" w:rsidRDefault="00711386" w:rsidP="00711386">
      <w:pPr>
        <w:numPr>
          <w:ilvl w:val="0"/>
          <w:numId w:val="10"/>
        </w:numPr>
        <w:rPr>
          <w:lang w:val="en-US"/>
        </w:rPr>
      </w:pPr>
      <w:r w:rsidRPr="004C7BE9">
        <w:rPr>
          <w:lang w:val="en-US"/>
        </w:rPr>
        <w:t>3GPP RAN1#97 meeting, Chairman’s notes</w:t>
      </w:r>
      <w:r>
        <w:rPr>
          <w:lang w:val="en-US"/>
        </w:rPr>
        <w:t>, May 2019.</w:t>
      </w:r>
    </w:p>
    <w:p w14:paraId="6D6BFB2F" w14:textId="77777777" w:rsidR="007928B1" w:rsidRDefault="007928B1" w:rsidP="007928B1">
      <w:pPr>
        <w:numPr>
          <w:ilvl w:val="0"/>
          <w:numId w:val="10"/>
        </w:numPr>
        <w:overflowPunct w:val="0"/>
        <w:autoSpaceDE w:val="0"/>
        <w:autoSpaceDN w:val="0"/>
        <w:adjustRightInd w:val="0"/>
        <w:textAlignment w:val="baseline"/>
        <w:rPr>
          <w:lang w:val="en-US"/>
        </w:rPr>
      </w:pPr>
      <w:r w:rsidRPr="007928B1">
        <w:rPr>
          <w:lang w:val="en-US"/>
        </w:rPr>
        <w:t>R2-1904412,</w:t>
      </w:r>
      <w:r w:rsidRPr="007928B1">
        <w:rPr>
          <w:i/>
          <w:lang w:val="en-US"/>
        </w:rPr>
        <w:t xml:space="preserve"> SPS Enhancements for TSC</w:t>
      </w:r>
      <w:r w:rsidRPr="007928B1">
        <w:rPr>
          <w:lang w:val="en-US"/>
        </w:rPr>
        <w:t>, Nokia, Nokia S</w:t>
      </w:r>
      <w:r>
        <w:rPr>
          <w:lang w:val="en-US"/>
        </w:rPr>
        <w:t>hanghai Bell, April 2019.</w:t>
      </w:r>
    </w:p>
    <w:p w14:paraId="62902FDC" w14:textId="77777777" w:rsidR="007928B1" w:rsidRDefault="007928B1" w:rsidP="007928B1">
      <w:pPr>
        <w:numPr>
          <w:ilvl w:val="0"/>
          <w:numId w:val="10"/>
        </w:numPr>
        <w:overflowPunct w:val="0"/>
        <w:autoSpaceDE w:val="0"/>
        <w:autoSpaceDN w:val="0"/>
        <w:adjustRightInd w:val="0"/>
        <w:textAlignment w:val="baseline"/>
      </w:pPr>
      <w:r w:rsidRPr="00C110E7">
        <w:t>R2-1900284</w:t>
      </w:r>
      <w:r>
        <w:t xml:space="preserve">, </w:t>
      </w:r>
      <w:r w:rsidRPr="007928B1">
        <w:rPr>
          <w:i/>
        </w:rPr>
        <w:t>Configured grant and SPS for IIOT services</w:t>
      </w:r>
      <w:r>
        <w:t>, NTT DOCOMO, INC., Feb. 2019.</w:t>
      </w:r>
    </w:p>
    <w:p w14:paraId="47E987ED" w14:textId="4DF2D079" w:rsidR="00B65086" w:rsidRPr="007928B1" w:rsidRDefault="00B65086" w:rsidP="007928B1">
      <w:pPr>
        <w:numPr>
          <w:ilvl w:val="0"/>
          <w:numId w:val="10"/>
        </w:numPr>
        <w:overflowPunct w:val="0"/>
        <w:autoSpaceDE w:val="0"/>
        <w:autoSpaceDN w:val="0"/>
        <w:adjustRightInd w:val="0"/>
        <w:textAlignment w:val="baseline"/>
      </w:pPr>
      <w:r>
        <w:t xml:space="preserve">R2-1909495, </w:t>
      </w:r>
      <w:r w:rsidRPr="00B65086">
        <w:t>L</w:t>
      </w:r>
      <w:r w:rsidRPr="00B65086">
        <w:rPr>
          <w:i/>
        </w:rPr>
        <w:t>CP restrictions with multiple CG configurations</w:t>
      </w:r>
      <w:r>
        <w:rPr>
          <w:i/>
        </w:rPr>
        <w:t xml:space="preserve">, </w:t>
      </w:r>
      <w:r w:rsidRPr="007928B1">
        <w:rPr>
          <w:lang w:val="en-US"/>
        </w:rPr>
        <w:t>Nokia, Nokia S</w:t>
      </w:r>
      <w:r>
        <w:rPr>
          <w:lang w:val="en-US"/>
        </w:rPr>
        <w:t>hanghai Bell, August 2019.</w:t>
      </w:r>
    </w:p>
    <w:sectPr w:rsidR="00B65086" w:rsidRPr="007928B1" w:rsidSect="002C2FF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8B99B" w14:textId="77777777" w:rsidR="00B65086" w:rsidRDefault="00B65086">
      <w:r>
        <w:separator/>
      </w:r>
    </w:p>
  </w:endnote>
  <w:endnote w:type="continuationSeparator" w:id="0">
    <w:p w14:paraId="456E69D8" w14:textId="77777777" w:rsidR="00B65086" w:rsidRDefault="00B65086">
      <w:r>
        <w:continuationSeparator/>
      </w:r>
    </w:p>
  </w:endnote>
  <w:endnote w:type="continuationNotice" w:id="1">
    <w:p w14:paraId="0D568508" w14:textId="77777777" w:rsidR="00B65086" w:rsidRDefault="00B65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FCE2" w14:textId="77777777" w:rsidR="00B65086" w:rsidRDefault="00B65086">
      <w:r>
        <w:separator/>
      </w:r>
    </w:p>
  </w:footnote>
  <w:footnote w:type="continuationSeparator" w:id="0">
    <w:p w14:paraId="34CB57DE" w14:textId="77777777" w:rsidR="00B65086" w:rsidRDefault="00B65086">
      <w:r>
        <w:continuationSeparator/>
      </w:r>
    </w:p>
  </w:footnote>
  <w:footnote w:type="continuationNotice" w:id="1">
    <w:p w14:paraId="4F959DD0" w14:textId="77777777" w:rsidR="00B65086" w:rsidRDefault="00B65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97042"/>
    <w:multiLevelType w:val="hybridMultilevel"/>
    <w:tmpl w:val="D33660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40E422C"/>
    <w:multiLevelType w:val="hybridMultilevel"/>
    <w:tmpl w:val="C2966D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65349B8"/>
    <w:multiLevelType w:val="hybridMultilevel"/>
    <w:tmpl w:val="BDA4C93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17FC1"/>
    <w:multiLevelType w:val="hybridMultilevel"/>
    <w:tmpl w:val="A70C1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54CBB"/>
    <w:multiLevelType w:val="hybridMultilevel"/>
    <w:tmpl w:val="A8680C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1637BCD"/>
    <w:multiLevelType w:val="hybridMultilevel"/>
    <w:tmpl w:val="F2D43B4A"/>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1" w15:restartNumberingAfterBreak="0">
    <w:nsid w:val="248E0E95"/>
    <w:multiLevelType w:val="hybridMultilevel"/>
    <w:tmpl w:val="3C2815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E5243"/>
    <w:multiLevelType w:val="hybridMultilevel"/>
    <w:tmpl w:val="4860ED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2708BA"/>
    <w:multiLevelType w:val="hybridMultilevel"/>
    <w:tmpl w:val="E90295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4E312D"/>
    <w:multiLevelType w:val="hybridMultilevel"/>
    <w:tmpl w:val="884EB5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34A42E3"/>
    <w:multiLevelType w:val="hybridMultilevel"/>
    <w:tmpl w:val="8B748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F23A7C"/>
    <w:multiLevelType w:val="hybridMultilevel"/>
    <w:tmpl w:val="7E3E6F94"/>
    <w:lvl w:ilvl="0" w:tplc="62908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69067D"/>
    <w:multiLevelType w:val="hybridMultilevel"/>
    <w:tmpl w:val="41A4A948"/>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7E84EA6"/>
    <w:multiLevelType w:val="hybridMultilevel"/>
    <w:tmpl w:val="0DFE08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92B3F18"/>
    <w:multiLevelType w:val="hybridMultilevel"/>
    <w:tmpl w:val="591871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B8F03D0"/>
    <w:multiLevelType w:val="hybridMultilevel"/>
    <w:tmpl w:val="2AAC6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DB2176"/>
    <w:multiLevelType w:val="hybridMultilevel"/>
    <w:tmpl w:val="9DA09C9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597B1245"/>
    <w:multiLevelType w:val="hybridMultilevel"/>
    <w:tmpl w:val="4E62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D71F06"/>
    <w:multiLevelType w:val="hybridMultilevel"/>
    <w:tmpl w:val="08FE63D6"/>
    <w:lvl w:ilvl="0" w:tplc="55ECC84E">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F201EDD"/>
    <w:multiLevelType w:val="hybridMultilevel"/>
    <w:tmpl w:val="6C6AB8D6"/>
    <w:lvl w:ilvl="0" w:tplc="04060001">
      <w:start w:val="1"/>
      <w:numFmt w:val="bullet"/>
      <w:lvlText w:val=""/>
      <w:lvlJc w:val="left"/>
      <w:pPr>
        <w:ind w:left="773" w:hanging="360"/>
      </w:pPr>
      <w:rPr>
        <w:rFonts w:ascii="Symbol" w:hAnsi="Symbol" w:hint="default"/>
      </w:rPr>
    </w:lvl>
    <w:lvl w:ilvl="1" w:tplc="04060003" w:tentative="1">
      <w:start w:val="1"/>
      <w:numFmt w:val="bullet"/>
      <w:lvlText w:val="o"/>
      <w:lvlJc w:val="left"/>
      <w:pPr>
        <w:ind w:left="1493" w:hanging="360"/>
      </w:pPr>
      <w:rPr>
        <w:rFonts w:ascii="Courier New" w:hAnsi="Courier New" w:cs="Courier New" w:hint="default"/>
      </w:rPr>
    </w:lvl>
    <w:lvl w:ilvl="2" w:tplc="04060005" w:tentative="1">
      <w:start w:val="1"/>
      <w:numFmt w:val="bullet"/>
      <w:lvlText w:val=""/>
      <w:lvlJc w:val="left"/>
      <w:pPr>
        <w:ind w:left="2213" w:hanging="360"/>
      </w:pPr>
      <w:rPr>
        <w:rFonts w:ascii="Wingdings" w:hAnsi="Wingdings" w:hint="default"/>
      </w:rPr>
    </w:lvl>
    <w:lvl w:ilvl="3" w:tplc="04060001" w:tentative="1">
      <w:start w:val="1"/>
      <w:numFmt w:val="bullet"/>
      <w:lvlText w:val=""/>
      <w:lvlJc w:val="left"/>
      <w:pPr>
        <w:ind w:left="2933" w:hanging="360"/>
      </w:pPr>
      <w:rPr>
        <w:rFonts w:ascii="Symbol" w:hAnsi="Symbol" w:hint="default"/>
      </w:rPr>
    </w:lvl>
    <w:lvl w:ilvl="4" w:tplc="04060003" w:tentative="1">
      <w:start w:val="1"/>
      <w:numFmt w:val="bullet"/>
      <w:lvlText w:val="o"/>
      <w:lvlJc w:val="left"/>
      <w:pPr>
        <w:ind w:left="3653" w:hanging="360"/>
      </w:pPr>
      <w:rPr>
        <w:rFonts w:ascii="Courier New" w:hAnsi="Courier New" w:cs="Courier New" w:hint="default"/>
      </w:rPr>
    </w:lvl>
    <w:lvl w:ilvl="5" w:tplc="04060005" w:tentative="1">
      <w:start w:val="1"/>
      <w:numFmt w:val="bullet"/>
      <w:lvlText w:val=""/>
      <w:lvlJc w:val="left"/>
      <w:pPr>
        <w:ind w:left="4373" w:hanging="360"/>
      </w:pPr>
      <w:rPr>
        <w:rFonts w:ascii="Wingdings" w:hAnsi="Wingdings" w:hint="default"/>
      </w:rPr>
    </w:lvl>
    <w:lvl w:ilvl="6" w:tplc="04060001" w:tentative="1">
      <w:start w:val="1"/>
      <w:numFmt w:val="bullet"/>
      <w:lvlText w:val=""/>
      <w:lvlJc w:val="left"/>
      <w:pPr>
        <w:ind w:left="5093" w:hanging="360"/>
      </w:pPr>
      <w:rPr>
        <w:rFonts w:ascii="Symbol" w:hAnsi="Symbol" w:hint="default"/>
      </w:rPr>
    </w:lvl>
    <w:lvl w:ilvl="7" w:tplc="04060003" w:tentative="1">
      <w:start w:val="1"/>
      <w:numFmt w:val="bullet"/>
      <w:lvlText w:val="o"/>
      <w:lvlJc w:val="left"/>
      <w:pPr>
        <w:ind w:left="5813" w:hanging="360"/>
      </w:pPr>
      <w:rPr>
        <w:rFonts w:ascii="Courier New" w:hAnsi="Courier New" w:cs="Courier New" w:hint="default"/>
      </w:rPr>
    </w:lvl>
    <w:lvl w:ilvl="8" w:tplc="04060005" w:tentative="1">
      <w:start w:val="1"/>
      <w:numFmt w:val="bullet"/>
      <w:lvlText w:val=""/>
      <w:lvlJc w:val="left"/>
      <w:pPr>
        <w:ind w:left="6533" w:hanging="360"/>
      </w:pPr>
      <w:rPr>
        <w:rFonts w:ascii="Wingdings" w:hAnsi="Wingdings" w:hint="default"/>
      </w:rPr>
    </w:lvl>
  </w:abstractNum>
  <w:abstractNum w:abstractNumId="29" w15:restartNumberingAfterBreak="0">
    <w:nsid w:val="5F8C5A4B"/>
    <w:multiLevelType w:val="hybridMultilevel"/>
    <w:tmpl w:val="9208C5F8"/>
    <w:lvl w:ilvl="0" w:tplc="2DDCB92E">
      <w:start w:val="1"/>
      <w:numFmt w:val="bullet"/>
      <w:lvlText w:val="•"/>
      <w:lvlJc w:val="left"/>
      <w:pPr>
        <w:tabs>
          <w:tab w:val="num" w:pos="720"/>
        </w:tabs>
        <w:ind w:left="720" w:hanging="360"/>
      </w:pPr>
      <w:rPr>
        <w:rFonts w:ascii="Arial" w:hAnsi="Arial" w:hint="default"/>
      </w:rPr>
    </w:lvl>
    <w:lvl w:ilvl="1" w:tplc="C354203A" w:tentative="1">
      <w:start w:val="1"/>
      <w:numFmt w:val="bullet"/>
      <w:lvlText w:val="•"/>
      <w:lvlJc w:val="left"/>
      <w:pPr>
        <w:tabs>
          <w:tab w:val="num" w:pos="1440"/>
        </w:tabs>
        <w:ind w:left="1440" w:hanging="360"/>
      </w:pPr>
      <w:rPr>
        <w:rFonts w:ascii="Arial" w:hAnsi="Arial" w:hint="default"/>
      </w:rPr>
    </w:lvl>
    <w:lvl w:ilvl="2" w:tplc="A364E460" w:tentative="1">
      <w:start w:val="1"/>
      <w:numFmt w:val="bullet"/>
      <w:lvlText w:val="•"/>
      <w:lvlJc w:val="left"/>
      <w:pPr>
        <w:tabs>
          <w:tab w:val="num" w:pos="2160"/>
        </w:tabs>
        <w:ind w:left="2160" w:hanging="360"/>
      </w:pPr>
      <w:rPr>
        <w:rFonts w:ascii="Arial" w:hAnsi="Arial" w:hint="default"/>
      </w:rPr>
    </w:lvl>
    <w:lvl w:ilvl="3" w:tplc="DA72D6A6" w:tentative="1">
      <w:start w:val="1"/>
      <w:numFmt w:val="bullet"/>
      <w:lvlText w:val="•"/>
      <w:lvlJc w:val="left"/>
      <w:pPr>
        <w:tabs>
          <w:tab w:val="num" w:pos="2880"/>
        </w:tabs>
        <w:ind w:left="2880" w:hanging="360"/>
      </w:pPr>
      <w:rPr>
        <w:rFonts w:ascii="Arial" w:hAnsi="Arial" w:hint="default"/>
      </w:rPr>
    </w:lvl>
    <w:lvl w:ilvl="4" w:tplc="4E2663CC" w:tentative="1">
      <w:start w:val="1"/>
      <w:numFmt w:val="bullet"/>
      <w:lvlText w:val="•"/>
      <w:lvlJc w:val="left"/>
      <w:pPr>
        <w:tabs>
          <w:tab w:val="num" w:pos="3600"/>
        </w:tabs>
        <w:ind w:left="3600" w:hanging="360"/>
      </w:pPr>
      <w:rPr>
        <w:rFonts w:ascii="Arial" w:hAnsi="Arial" w:hint="default"/>
      </w:rPr>
    </w:lvl>
    <w:lvl w:ilvl="5" w:tplc="EB6047EA" w:tentative="1">
      <w:start w:val="1"/>
      <w:numFmt w:val="bullet"/>
      <w:lvlText w:val="•"/>
      <w:lvlJc w:val="left"/>
      <w:pPr>
        <w:tabs>
          <w:tab w:val="num" w:pos="4320"/>
        </w:tabs>
        <w:ind w:left="4320" w:hanging="360"/>
      </w:pPr>
      <w:rPr>
        <w:rFonts w:ascii="Arial" w:hAnsi="Arial" w:hint="default"/>
      </w:rPr>
    </w:lvl>
    <w:lvl w:ilvl="6" w:tplc="563CBA82" w:tentative="1">
      <w:start w:val="1"/>
      <w:numFmt w:val="bullet"/>
      <w:lvlText w:val="•"/>
      <w:lvlJc w:val="left"/>
      <w:pPr>
        <w:tabs>
          <w:tab w:val="num" w:pos="5040"/>
        </w:tabs>
        <w:ind w:left="5040" w:hanging="360"/>
      </w:pPr>
      <w:rPr>
        <w:rFonts w:ascii="Arial" w:hAnsi="Arial" w:hint="default"/>
      </w:rPr>
    </w:lvl>
    <w:lvl w:ilvl="7" w:tplc="93E6501A" w:tentative="1">
      <w:start w:val="1"/>
      <w:numFmt w:val="bullet"/>
      <w:lvlText w:val="•"/>
      <w:lvlJc w:val="left"/>
      <w:pPr>
        <w:tabs>
          <w:tab w:val="num" w:pos="5760"/>
        </w:tabs>
        <w:ind w:left="5760" w:hanging="360"/>
      </w:pPr>
      <w:rPr>
        <w:rFonts w:ascii="Arial" w:hAnsi="Arial" w:hint="default"/>
      </w:rPr>
    </w:lvl>
    <w:lvl w:ilvl="8" w:tplc="587E40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6B38BA"/>
    <w:multiLevelType w:val="hybridMultilevel"/>
    <w:tmpl w:val="8DC2D9CC"/>
    <w:lvl w:ilvl="0" w:tplc="28CA2C70">
      <w:start w:val="1"/>
      <w:numFmt w:val="decimal"/>
      <w:lvlText w:val="Option %1."/>
      <w:lvlJc w:val="left"/>
      <w:pPr>
        <w:ind w:left="720" w:hanging="360"/>
      </w:pPr>
      <w:rPr>
        <w:rFonts w:hint="default"/>
        <w: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148575D"/>
    <w:multiLevelType w:val="hybridMultilevel"/>
    <w:tmpl w:val="8EA846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5901297"/>
    <w:multiLevelType w:val="hybridMultilevel"/>
    <w:tmpl w:val="ADBEFB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C316DC"/>
    <w:multiLevelType w:val="multilevel"/>
    <w:tmpl w:val="417A45C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5F7597"/>
    <w:multiLevelType w:val="hybridMultilevel"/>
    <w:tmpl w:val="D736B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C0F149C"/>
    <w:multiLevelType w:val="multilevel"/>
    <w:tmpl w:val="09FC4FA4"/>
    <w:lvl w:ilvl="0">
      <w:start w:val="1"/>
      <w:numFmt w:val="decimal"/>
      <w:pStyle w:val="Heading8"/>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35"/>
  </w:num>
  <w:num w:numId="6">
    <w:abstractNumId w:val="10"/>
  </w:num>
  <w:num w:numId="7">
    <w:abstractNumId w:val="7"/>
  </w:num>
  <w:num w:numId="8">
    <w:abstractNumId w:val="37"/>
  </w:num>
  <w:num w:numId="9">
    <w:abstractNumId w:val="23"/>
  </w:num>
  <w:num w:numId="10">
    <w:abstractNumId w:val="16"/>
  </w:num>
  <w:num w:numId="11">
    <w:abstractNumId w:val="6"/>
  </w:num>
  <w:num w:numId="12">
    <w:abstractNumId w:val="25"/>
  </w:num>
  <w:num w:numId="13">
    <w:abstractNumId w:val="18"/>
  </w:num>
  <w:num w:numId="14">
    <w:abstractNumId w:val="14"/>
  </w:num>
  <w:num w:numId="15">
    <w:abstractNumId w:val="26"/>
  </w:num>
  <w:num w:numId="16">
    <w:abstractNumId w:val="24"/>
  </w:num>
  <w:num w:numId="17">
    <w:abstractNumId w:val="28"/>
  </w:num>
  <w:num w:numId="18">
    <w:abstractNumId w:val="33"/>
  </w:num>
  <w:num w:numId="19">
    <w:abstractNumId w:val="5"/>
  </w:num>
  <w:num w:numId="20">
    <w:abstractNumId w:val="9"/>
  </w:num>
  <w:num w:numId="21">
    <w:abstractNumId w:val="17"/>
  </w:num>
  <w:num w:numId="22">
    <w:abstractNumId w:val="38"/>
  </w:num>
  <w:num w:numId="23">
    <w:abstractNumId w:val="21"/>
  </w:num>
  <w:num w:numId="24">
    <w:abstractNumId w:val="39"/>
  </w:num>
  <w:num w:numId="25">
    <w:abstractNumId w:val="8"/>
  </w:num>
  <w:num w:numId="26">
    <w:abstractNumId w:val="33"/>
  </w:num>
  <w:num w:numId="27">
    <w:abstractNumId w:val="29"/>
  </w:num>
  <w:num w:numId="28">
    <w:abstractNumId w:val="22"/>
  </w:num>
  <w:num w:numId="29">
    <w:abstractNumId w:val="15"/>
  </w:num>
  <w:num w:numId="30">
    <w:abstractNumId w:val="11"/>
  </w:num>
  <w:num w:numId="31">
    <w:abstractNumId w:val="20"/>
  </w:num>
  <w:num w:numId="32">
    <w:abstractNumId w:val="36"/>
  </w:num>
  <w:num w:numId="33">
    <w:abstractNumId w:val="12"/>
  </w:num>
  <w:num w:numId="34">
    <w:abstractNumId w:val="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1"/>
  </w:num>
  <w:num w:numId="38">
    <w:abstractNumId w:val="12"/>
  </w:num>
  <w:num w:numId="39">
    <w:abstractNumId w:val="30"/>
  </w:num>
  <w:num w:numId="40">
    <w:abstractNumId w:val="27"/>
  </w:num>
  <w:num w:numId="41">
    <w:abstractNumId w:val="34"/>
  </w:num>
  <w:num w:numId="42">
    <w:abstractNumId w:val="2"/>
  </w:num>
  <w:num w:numId="43">
    <w:abstractNumId w:val="32"/>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CAD"/>
    <w:rsid w:val="00001961"/>
    <w:rsid w:val="00007FB8"/>
    <w:rsid w:val="000113E2"/>
    <w:rsid w:val="00015765"/>
    <w:rsid w:val="0002191D"/>
    <w:rsid w:val="000228F5"/>
    <w:rsid w:val="00024A84"/>
    <w:rsid w:val="00024BA4"/>
    <w:rsid w:val="0002653E"/>
    <w:rsid w:val="000266A0"/>
    <w:rsid w:val="000270F7"/>
    <w:rsid w:val="0002728C"/>
    <w:rsid w:val="0003090B"/>
    <w:rsid w:val="000318C2"/>
    <w:rsid w:val="00031C1D"/>
    <w:rsid w:val="00054CB6"/>
    <w:rsid w:val="000566F5"/>
    <w:rsid w:val="00075640"/>
    <w:rsid w:val="00080A87"/>
    <w:rsid w:val="000820C2"/>
    <w:rsid w:val="000838DC"/>
    <w:rsid w:val="00084769"/>
    <w:rsid w:val="00085221"/>
    <w:rsid w:val="000926CA"/>
    <w:rsid w:val="00092A8E"/>
    <w:rsid w:val="00093E7E"/>
    <w:rsid w:val="000A2FAB"/>
    <w:rsid w:val="000B211A"/>
    <w:rsid w:val="000B7643"/>
    <w:rsid w:val="000B77E0"/>
    <w:rsid w:val="000C00AC"/>
    <w:rsid w:val="000D46C0"/>
    <w:rsid w:val="000D6CFC"/>
    <w:rsid w:val="000E52A9"/>
    <w:rsid w:val="000F1040"/>
    <w:rsid w:val="001006D1"/>
    <w:rsid w:val="001117EB"/>
    <w:rsid w:val="00111E2F"/>
    <w:rsid w:val="00114BF8"/>
    <w:rsid w:val="00117421"/>
    <w:rsid w:val="00121CA0"/>
    <w:rsid w:val="00122370"/>
    <w:rsid w:val="001263F3"/>
    <w:rsid w:val="00136DDE"/>
    <w:rsid w:val="001371D0"/>
    <w:rsid w:val="00151D35"/>
    <w:rsid w:val="00153528"/>
    <w:rsid w:val="00162AF0"/>
    <w:rsid w:val="00167A46"/>
    <w:rsid w:val="00171C56"/>
    <w:rsid w:val="001725CD"/>
    <w:rsid w:val="00176D17"/>
    <w:rsid w:val="00181954"/>
    <w:rsid w:val="00183286"/>
    <w:rsid w:val="00183342"/>
    <w:rsid w:val="001868E9"/>
    <w:rsid w:val="00191DA5"/>
    <w:rsid w:val="001920C5"/>
    <w:rsid w:val="00193E4D"/>
    <w:rsid w:val="00195757"/>
    <w:rsid w:val="001A08AA"/>
    <w:rsid w:val="001A3120"/>
    <w:rsid w:val="001B20FD"/>
    <w:rsid w:val="001C094E"/>
    <w:rsid w:val="001C3A35"/>
    <w:rsid w:val="001C46FF"/>
    <w:rsid w:val="001C53AB"/>
    <w:rsid w:val="001D4545"/>
    <w:rsid w:val="001E1254"/>
    <w:rsid w:val="001E3B58"/>
    <w:rsid w:val="001E55A8"/>
    <w:rsid w:val="001E6255"/>
    <w:rsid w:val="001F5D21"/>
    <w:rsid w:val="001F72FF"/>
    <w:rsid w:val="002000B2"/>
    <w:rsid w:val="0020030C"/>
    <w:rsid w:val="00203434"/>
    <w:rsid w:val="00212373"/>
    <w:rsid w:val="002138EA"/>
    <w:rsid w:val="00214FBD"/>
    <w:rsid w:val="00222897"/>
    <w:rsid w:val="0023012C"/>
    <w:rsid w:val="00235394"/>
    <w:rsid w:val="002443E6"/>
    <w:rsid w:val="0026179F"/>
    <w:rsid w:val="00261D69"/>
    <w:rsid w:val="00274E1A"/>
    <w:rsid w:val="00282213"/>
    <w:rsid w:val="00286299"/>
    <w:rsid w:val="0029455A"/>
    <w:rsid w:val="0029672A"/>
    <w:rsid w:val="002B0D5D"/>
    <w:rsid w:val="002B2EE1"/>
    <w:rsid w:val="002C2FF9"/>
    <w:rsid w:val="002C389B"/>
    <w:rsid w:val="002D7727"/>
    <w:rsid w:val="002E0F82"/>
    <w:rsid w:val="002F4093"/>
    <w:rsid w:val="0030442E"/>
    <w:rsid w:val="00306C12"/>
    <w:rsid w:val="003078A8"/>
    <w:rsid w:val="0031012C"/>
    <w:rsid w:val="00317956"/>
    <w:rsid w:val="003203AC"/>
    <w:rsid w:val="00325FCB"/>
    <w:rsid w:val="00334FBF"/>
    <w:rsid w:val="00337507"/>
    <w:rsid w:val="00337656"/>
    <w:rsid w:val="003462B4"/>
    <w:rsid w:val="003545DC"/>
    <w:rsid w:val="0036400A"/>
    <w:rsid w:val="00367724"/>
    <w:rsid w:val="00371BB0"/>
    <w:rsid w:val="00377EDB"/>
    <w:rsid w:val="003972B5"/>
    <w:rsid w:val="003A7153"/>
    <w:rsid w:val="003B59EE"/>
    <w:rsid w:val="003B7476"/>
    <w:rsid w:val="003C1F98"/>
    <w:rsid w:val="003D3132"/>
    <w:rsid w:val="003D5D86"/>
    <w:rsid w:val="003D5EA7"/>
    <w:rsid w:val="003D6E03"/>
    <w:rsid w:val="003D7224"/>
    <w:rsid w:val="003E7CFF"/>
    <w:rsid w:val="003F75EA"/>
    <w:rsid w:val="00401785"/>
    <w:rsid w:val="004023AB"/>
    <w:rsid w:val="0040603F"/>
    <w:rsid w:val="00412B61"/>
    <w:rsid w:val="00426A7B"/>
    <w:rsid w:val="00442AAB"/>
    <w:rsid w:val="00444225"/>
    <w:rsid w:val="00450ADA"/>
    <w:rsid w:val="00453BBF"/>
    <w:rsid w:val="0047032E"/>
    <w:rsid w:val="00471D1A"/>
    <w:rsid w:val="00471FD8"/>
    <w:rsid w:val="00476964"/>
    <w:rsid w:val="00476A83"/>
    <w:rsid w:val="0049116D"/>
    <w:rsid w:val="0049153A"/>
    <w:rsid w:val="00492616"/>
    <w:rsid w:val="00493478"/>
    <w:rsid w:val="004A0562"/>
    <w:rsid w:val="004A17C7"/>
    <w:rsid w:val="004A5931"/>
    <w:rsid w:val="004B4FDE"/>
    <w:rsid w:val="004B6523"/>
    <w:rsid w:val="004E0013"/>
    <w:rsid w:val="004F0A1B"/>
    <w:rsid w:val="004F611C"/>
    <w:rsid w:val="004F7A3D"/>
    <w:rsid w:val="00501CFC"/>
    <w:rsid w:val="00505BFA"/>
    <w:rsid w:val="00507BBE"/>
    <w:rsid w:val="00507FF1"/>
    <w:rsid w:val="00512012"/>
    <w:rsid w:val="00525349"/>
    <w:rsid w:val="00526D3C"/>
    <w:rsid w:val="00530E57"/>
    <w:rsid w:val="00532AFE"/>
    <w:rsid w:val="00537834"/>
    <w:rsid w:val="00571B23"/>
    <w:rsid w:val="00576264"/>
    <w:rsid w:val="00576D91"/>
    <w:rsid w:val="005932E4"/>
    <w:rsid w:val="00593FE7"/>
    <w:rsid w:val="00596E71"/>
    <w:rsid w:val="00597BE6"/>
    <w:rsid w:val="005A1BAD"/>
    <w:rsid w:val="005A251F"/>
    <w:rsid w:val="005B16EB"/>
    <w:rsid w:val="005B55A5"/>
    <w:rsid w:val="005B66B1"/>
    <w:rsid w:val="005D1AD5"/>
    <w:rsid w:val="005D770B"/>
    <w:rsid w:val="005E1D1D"/>
    <w:rsid w:val="005E1E1B"/>
    <w:rsid w:val="005E367F"/>
    <w:rsid w:val="005E50C1"/>
    <w:rsid w:val="005E532C"/>
    <w:rsid w:val="00601FBA"/>
    <w:rsid w:val="00606961"/>
    <w:rsid w:val="00610E58"/>
    <w:rsid w:val="00630DFE"/>
    <w:rsid w:val="00645857"/>
    <w:rsid w:val="00647A02"/>
    <w:rsid w:val="00663047"/>
    <w:rsid w:val="00667CFB"/>
    <w:rsid w:val="00671402"/>
    <w:rsid w:val="006856E5"/>
    <w:rsid w:val="00687835"/>
    <w:rsid w:val="006921D2"/>
    <w:rsid w:val="006A2BD2"/>
    <w:rsid w:val="006A7D14"/>
    <w:rsid w:val="006B0D02"/>
    <w:rsid w:val="006B37AA"/>
    <w:rsid w:val="006B49E5"/>
    <w:rsid w:val="006B65B2"/>
    <w:rsid w:val="006C08D9"/>
    <w:rsid w:val="006C1DD6"/>
    <w:rsid w:val="006C2D49"/>
    <w:rsid w:val="006C3AB3"/>
    <w:rsid w:val="006C418C"/>
    <w:rsid w:val="006C4963"/>
    <w:rsid w:val="006D2077"/>
    <w:rsid w:val="006D2D1F"/>
    <w:rsid w:val="006D55F9"/>
    <w:rsid w:val="006E523B"/>
    <w:rsid w:val="006F6779"/>
    <w:rsid w:val="0070646B"/>
    <w:rsid w:val="007066FA"/>
    <w:rsid w:val="00707941"/>
    <w:rsid w:val="00711386"/>
    <w:rsid w:val="0071242D"/>
    <w:rsid w:val="00717790"/>
    <w:rsid w:val="0072117E"/>
    <w:rsid w:val="00727E20"/>
    <w:rsid w:val="00731DBC"/>
    <w:rsid w:val="00744EC8"/>
    <w:rsid w:val="00752853"/>
    <w:rsid w:val="007553BB"/>
    <w:rsid w:val="00767E09"/>
    <w:rsid w:val="00767FA1"/>
    <w:rsid w:val="00771C08"/>
    <w:rsid w:val="007814D8"/>
    <w:rsid w:val="00781C28"/>
    <w:rsid w:val="007928B1"/>
    <w:rsid w:val="007A63F6"/>
    <w:rsid w:val="007B5222"/>
    <w:rsid w:val="007B598C"/>
    <w:rsid w:val="007B7545"/>
    <w:rsid w:val="007C047C"/>
    <w:rsid w:val="007C178B"/>
    <w:rsid w:val="007C3606"/>
    <w:rsid w:val="007C7657"/>
    <w:rsid w:val="007D1C09"/>
    <w:rsid w:val="007D1C68"/>
    <w:rsid w:val="007D535B"/>
    <w:rsid w:val="007D6048"/>
    <w:rsid w:val="007D683A"/>
    <w:rsid w:val="007F0E1E"/>
    <w:rsid w:val="007F62EA"/>
    <w:rsid w:val="00811A2D"/>
    <w:rsid w:val="00813CDC"/>
    <w:rsid w:val="0082211A"/>
    <w:rsid w:val="00830C6D"/>
    <w:rsid w:val="0083232E"/>
    <w:rsid w:val="00833D0A"/>
    <w:rsid w:val="008348A1"/>
    <w:rsid w:val="00836C44"/>
    <w:rsid w:val="008405F1"/>
    <w:rsid w:val="008422A3"/>
    <w:rsid w:val="00857986"/>
    <w:rsid w:val="00857C15"/>
    <w:rsid w:val="00861A88"/>
    <w:rsid w:val="008711E4"/>
    <w:rsid w:val="008751EC"/>
    <w:rsid w:val="0088608A"/>
    <w:rsid w:val="00893011"/>
    <w:rsid w:val="00893454"/>
    <w:rsid w:val="0089796B"/>
    <w:rsid w:val="00897D6C"/>
    <w:rsid w:val="008B28CF"/>
    <w:rsid w:val="008B7988"/>
    <w:rsid w:val="008B7A99"/>
    <w:rsid w:val="008C60E9"/>
    <w:rsid w:val="008D0F54"/>
    <w:rsid w:val="008D27AF"/>
    <w:rsid w:val="008E24AB"/>
    <w:rsid w:val="008F7D93"/>
    <w:rsid w:val="00900A81"/>
    <w:rsid w:val="009017A1"/>
    <w:rsid w:val="009032F9"/>
    <w:rsid w:val="00905458"/>
    <w:rsid w:val="00912AAE"/>
    <w:rsid w:val="009132F3"/>
    <w:rsid w:val="009163D8"/>
    <w:rsid w:val="009211FD"/>
    <w:rsid w:val="00921674"/>
    <w:rsid w:val="009246C1"/>
    <w:rsid w:val="009266CB"/>
    <w:rsid w:val="00931702"/>
    <w:rsid w:val="009324AC"/>
    <w:rsid w:val="009347F4"/>
    <w:rsid w:val="00942837"/>
    <w:rsid w:val="00963DA1"/>
    <w:rsid w:val="009717A9"/>
    <w:rsid w:val="00980FC8"/>
    <w:rsid w:val="00983910"/>
    <w:rsid w:val="009976E4"/>
    <w:rsid w:val="009A1A16"/>
    <w:rsid w:val="009A5399"/>
    <w:rsid w:val="009B0546"/>
    <w:rsid w:val="009C0727"/>
    <w:rsid w:val="009C0B5A"/>
    <w:rsid w:val="009C3FF3"/>
    <w:rsid w:val="009D0447"/>
    <w:rsid w:val="009D2B94"/>
    <w:rsid w:val="009D69D4"/>
    <w:rsid w:val="009F0386"/>
    <w:rsid w:val="009F0B99"/>
    <w:rsid w:val="009F1894"/>
    <w:rsid w:val="00A02454"/>
    <w:rsid w:val="00A0311A"/>
    <w:rsid w:val="00A041A9"/>
    <w:rsid w:val="00A116A0"/>
    <w:rsid w:val="00A16B82"/>
    <w:rsid w:val="00A17573"/>
    <w:rsid w:val="00A20FB2"/>
    <w:rsid w:val="00A31C19"/>
    <w:rsid w:val="00A361D7"/>
    <w:rsid w:val="00A40D68"/>
    <w:rsid w:val="00A46B79"/>
    <w:rsid w:val="00A521E7"/>
    <w:rsid w:val="00A52802"/>
    <w:rsid w:val="00A65439"/>
    <w:rsid w:val="00A67CF9"/>
    <w:rsid w:val="00A72864"/>
    <w:rsid w:val="00A73D73"/>
    <w:rsid w:val="00A769B0"/>
    <w:rsid w:val="00A81B15"/>
    <w:rsid w:val="00A85831"/>
    <w:rsid w:val="00A85DBC"/>
    <w:rsid w:val="00AA0504"/>
    <w:rsid w:val="00AA1699"/>
    <w:rsid w:val="00AA7D42"/>
    <w:rsid w:val="00AB39DE"/>
    <w:rsid w:val="00AB3F85"/>
    <w:rsid w:val="00AB7EE3"/>
    <w:rsid w:val="00AC286B"/>
    <w:rsid w:val="00AE0530"/>
    <w:rsid w:val="00AE34A7"/>
    <w:rsid w:val="00AF61E0"/>
    <w:rsid w:val="00B0526A"/>
    <w:rsid w:val="00B06F5E"/>
    <w:rsid w:val="00B10EF0"/>
    <w:rsid w:val="00B131FB"/>
    <w:rsid w:val="00B26596"/>
    <w:rsid w:val="00B31E4C"/>
    <w:rsid w:val="00B34716"/>
    <w:rsid w:val="00B3669B"/>
    <w:rsid w:val="00B41324"/>
    <w:rsid w:val="00B416C1"/>
    <w:rsid w:val="00B4284D"/>
    <w:rsid w:val="00B456CB"/>
    <w:rsid w:val="00B60262"/>
    <w:rsid w:val="00B63B72"/>
    <w:rsid w:val="00B63C41"/>
    <w:rsid w:val="00B65086"/>
    <w:rsid w:val="00B666A3"/>
    <w:rsid w:val="00B7277B"/>
    <w:rsid w:val="00B7539E"/>
    <w:rsid w:val="00B831AE"/>
    <w:rsid w:val="00B8446C"/>
    <w:rsid w:val="00B91367"/>
    <w:rsid w:val="00B93DE8"/>
    <w:rsid w:val="00BA2062"/>
    <w:rsid w:val="00BA7BE3"/>
    <w:rsid w:val="00BC2D06"/>
    <w:rsid w:val="00BE37CB"/>
    <w:rsid w:val="00BE790F"/>
    <w:rsid w:val="00C049E7"/>
    <w:rsid w:val="00C06993"/>
    <w:rsid w:val="00C110E7"/>
    <w:rsid w:val="00C22E72"/>
    <w:rsid w:val="00C268F4"/>
    <w:rsid w:val="00C27BE5"/>
    <w:rsid w:val="00C3562A"/>
    <w:rsid w:val="00C44133"/>
    <w:rsid w:val="00C4633D"/>
    <w:rsid w:val="00C63F87"/>
    <w:rsid w:val="00C678C8"/>
    <w:rsid w:val="00C72D4F"/>
    <w:rsid w:val="00C77822"/>
    <w:rsid w:val="00C83DD8"/>
    <w:rsid w:val="00C901F1"/>
    <w:rsid w:val="00C97084"/>
    <w:rsid w:val="00CB01EB"/>
    <w:rsid w:val="00CB7E25"/>
    <w:rsid w:val="00CC0EEB"/>
    <w:rsid w:val="00CC7BC3"/>
    <w:rsid w:val="00CD18C7"/>
    <w:rsid w:val="00CD39F6"/>
    <w:rsid w:val="00CD47DA"/>
    <w:rsid w:val="00CD6E07"/>
    <w:rsid w:val="00CE0484"/>
    <w:rsid w:val="00CE06FE"/>
    <w:rsid w:val="00CE721E"/>
    <w:rsid w:val="00D03706"/>
    <w:rsid w:val="00D13D5D"/>
    <w:rsid w:val="00D2015D"/>
    <w:rsid w:val="00D22EB1"/>
    <w:rsid w:val="00D418D8"/>
    <w:rsid w:val="00D47E6B"/>
    <w:rsid w:val="00D50632"/>
    <w:rsid w:val="00D5093E"/>
    <w:rsid w:val="00D520E4"/>
    <w:rsid w:val="00D54DF6"/>
    <w:rsid w:val="00D57DFA"/>
    <w:rsid w:val="00D652FD"/>
    <w:rsid w:val="00D7499C"/>
    <w:rsid w:val="00D756B6"/>
    <w:rsid w:val="00D806A7"/>
    <w:rsid w:val="00D9222D"/>
    <w:rsid w:val="00D93573"/>
    <w:rsid w:val="00DA7CE8"/>
    <w:rsid w:val="00DB559A"/>
    <w:rsid w:val="00DC4837"/>
    <w:rsid w:val="00DD0C2C"/>
    <w:rsid w:val="00DD54E6"/>
    <w:rsid w:val="00DD7D01"/>
    <w:rsid w:val="00DE4DDC"/>
    <w:rsid w:val="00DE6FEE"/>
    <w:rsid w:val="00DF1911"/>
    <w:rsid w:val="00DF5D99"/>
    <w:rsid w:val="00DF7199"/>
    <w:rsid w:val="00E00492"/>
    <w:rsid w:val="00E00E4A"/>
    <w:rsid w:val="00E15AD8"/>
    <w:rsid w:val="00E173D2"/>
    <w:rsid w:val="00E17619"/>
    <w:rsid w:val="00E204C6"/>
    <w:rsid w:val="00E3071D"/>
    <w:rsid w:val="00E31206"/>
    <w:rsid w:val="00E32FD5"/>
    <w:rsid w:val="00E40286"/>
    <w:rsid w:val="00E50213"/>
    <w:rsid w:val="00E55ABC"/>
    <w:rsid w:val="00E57B74"/>
    <w:rsid w:val="00E62D38"/>
    <w:rsid w:val="00E67FAC"/>
    <w:rsid w:val="00E67FD4"/>
    <w:rsid w:val="00E8629F"/>
    <w:rsid w:val="00E86CE5"/>
    <w:rsid w:val="00E91C2E"/>
    <w:rsid w:val="00E95D23"/>
    <w:rsid w:val="00E96F49"/>
    <w:rsid w:val="00E975A7"/>
    <w:rsid w:val="00EA08C6"/>
    <w:rsid w:val="00EA3C24"/>
    <w:rsid w:val="00EA4822"/>
    <w:rsid w:val="00EA6180"/>
    <w:rsid w:val="00EB3BDE"/>
    <w:rsid w:val="00EB64D9"/>
    <w:rsid w:val="00EC0173"/>
    <w:rsid w:val="00EC14DE"/>
    <w:rsid w:val="00ED0109"/>
    <w:rsid w:val="00ED3BA8"/>
    <w:rsid w:val="00EE74C8"/>
    <w:rsid w:val="00EF2537"/>
    <w:rsid w:val="00F06920"/>
    <w:rsid w:val="00F072D8"/>
    <w:rsid w:val="00F14258"/>
    <w:rsid w:val="00F1515C"/>
    <w:rsid w:val="00F2273A"/>
    <w:rsid w:val="00F3372E"/>
    <w:rsid w:val="00F47122"/>
    <w:rsid w:val="00F51F8C"/>
    <w:rsid w:val="00F5463B"/>
    <w:rsid w:val="00F6001B"/>
    <w:rsid w:val="00F7002A"/>
    <w:rsid w:val="00F806F3"/>
    <w:rsid w:val="00F81374"/>
    <w:rsid w:val="00F85DB4"/>
    <w:rsid w:val="00F87383"/>
    <w:rsid w:val="00FA1FE9"/>
    <w:rsid w:val="00FB1BC3"/>
    <w:rsid w:val="00FB217A"/>
    <w:rsid w:val="00FB37D7"/>
    <w:rsid w:val="00FB74D4"/>
    <w:rsid w:val="00FC051F"/>
    <w:rsid w:val="00FC1277"/>
    <w:rsid w:val="00FC6ACC"/>
    <w:rsid w:val="00FD1DA4"/>
    <w:rsid w:val="00FD5B27"/>
    <w:rsid w:val="00FE63FE"/>
    <w:rsid w:val="00FF22C5"/>
    <w:rsid w:val="1C59FD4D"/>
    <w:rsid w:val="3EA6F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96B08CE"/>
  <w15:chartTrackingRefBased/>
  <w15:docId w15:val="{8413D27D-5554-46A6-AA2E-A43F2BB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22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97D6C"/>
    <w:pPr>
      <w:numPr>
        <w:numId w:val="24"/>
      </w:numPr>
      <w:ind w:left="36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sid w:val="00857986"/>
    <w:rPr>
      <w:b/>
      <w:bCs/>
    </w:rPr>
  </w:style>
  <w:style w:type="character" w:customStyle="1" w:styleId="CommentTextChar">
    <w:name w:val="Comment Text Char"/>
    <w:link w:val="CommentText"/>
    <w:rsid w:val="00857986"/>
    <w:rPr>
      <w:lang w:eastAsia="en-US"/>
    </w:rPr>
  </w:style>
  <w:style w:type="character" w:customStyle="1" w:styleId="CommentSubjectChar">
    <w:name w:val="Comment Subject Char"/>
    <w:link w:val="CommentSubject"/>
    <w:rsid w:val="00857986"/>
    <w:rPr>
      <w:b/>
      <w:bCs/>
      <w:lang w:eastAsia="en-US"/>
    </w:rPr>
  </w:style>
  <w:style w:type="paragraph" w:styleId="BalloonText">
    <w:name w:val="Balloon Text"/>
    <w:basedOn w:val="Normal"/>
    <w:link w:val="BalloonTextChar"/>
    <w:rsid w:val="00857986"/>
    <w:pPr>
      <w:spacing w:after="0"/>
    </w:pPr>
    <w:rPr>
      <w:rFonts w:ascii="Segoe UI" w:hAnsi="Segoe UI" w:cs="Segoe UI"/>
      <w:sz w:val="18"/>
      <w:szCs w:val="18"/>
    </w:rPr>
  </w:style>
  <w:style w:type="character" w:customStyle="1" w:styleId="BalloonTextChar">
    <w:name w:val="Balloon Text Char"/>
    <w:link w:val="BalloonText"/>
    <w:rsid w:val="00857986"/>
    <w:rPr>
      <w:rFonts w:ascii="Segoe UI" w:hAnsi="Segoe UI" w:cs="Segoe UI"/>
      <w:sz w:val="18"/>
      <w:szCs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C0EEB"/>
    <w:rPr>
      <w:rFonts w:ascii="Arial" w:hAnsi="Arial"/>
      <w:b/>
      <w:noProof/>
      <w:sz w:val="18"/>
      <w:lang w:eastAsia="en-US"/>
    </w:rPr>
  </w:style>
  <w:style w:type="table" w:styleId="TableGrid">
    <w:name w:val="Table Grid"/>
    <w:basedOn w:val="TableNormal"/>
    <w:rsid w:val="00CC0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F2537"/>
    <w:pPr>
      <w:spacing w:after="120"/>
    </w:pPr>
    <w:rPr>
      <w:rFonts w:ascii="Arial" w:eastAsia="MS Mincho" w:hAnsi="Arial"/>
      <w:lang w:val="en-GB" w:eastAsia="en-US"/>
    </w:rPr>
  </w:style>
  <w:style w:type="character" w:customStyle="1" w:styleId="B1Char1">
    <w:name w:val="B1 Char1"/>
    <w:link w:val="B1"/>
    <w:rsid w:val="00D2015D"/>
    <w:rPr>
      <w:lang w:eastAsia="en-US"/>
    </w:rPr>
  </w:style>
  <w:style w:type="character" w:customStyle="1" w:styleId="Heading2Char">
    <w:name w:val="Heading 2 Char"/>
    <w:link w:val="Heading2"/>
    <w:rsid w:val="00EA6180"/>
    <w:rPr>
      <w:rFonts w:ascii="Arial" w:hAnsi="Arial"/>
      <w:sz w:val="32"/>
      <w:lang w:eastAsia="en-US"/>
    </w:rPr>
  </w:style>
  <w:style w:type="character" w:customStyle="1" w:styleId="B1Char">
    <w:name w:val="B1 Char"/>
    <w:rsid w:val="00811A2D"/>
    <w:rPr>
      <w:lang w:val="en-GB" w:eastAsia="en-US"/>
    </w:rPr>
  </w:style>
  <w:style w:type="character" w:customStyle="1" w:styleId="B2Char">
    <w:name w:val="B2 Char"/>
    <w:link w:val="B2"/>
    <w:rsid w:val="00811A2D"/>
    <w:rPr>
      <w:lang w:eastAsia="en-US"/>
    </w:rPr>
  </w:style>
  <w:style w:type="character" w:customStyle="1" w:styleId="B3Char">
    <w:name w:val="B3 Char"/>
    <w:link w:val="B3"/>
    <w:rsid w:val="00811A2D"/>
    <w:rPr>
      <w:lang w:eastAsia="en-US"/>
    </w:rPr>
  </w:style>
  <w:style w:type="character" w:customStyle="1" w:styleId="B4Char">
    <w:name w:val="B4 Char"/>
    <w:link w:val="B4"/>
    <w:rsid w:val="00811A2D"/>
    <w:rPr>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545DC"/>
    <w:pPr>
      <w:ind w:left="1304"/>
    </w:pPr>
  </w:style>
  <w:style w:type="character" w:customStyle="1" w:styleId="Doc-text2Char">
    <w:name w:val="Doc-text2 Char"/>
    <w:link w:val="Doc-text2"/>
    <w:locked/>
    <w:rsid w:val="005B16EB"/>
    <w:rPr>
      <w:rFonts w:ascii="Arial" w:hAnsi="Arial" w:cs="Arial"/>
    </w:rPr>
  </w:style>
  <w:style w:type="paragraph" w:customStyle="1" w:styleId="Doc-text2">
    <w:name w:val="Doc-text2"/>
    <w:basedOn w:val="Normal"/>
    <w:link w:val="Doc-text2Char"/>
    <w:qFormat/>
    <w:rsid w:val="005B16EB"/>
    <w:pPr>
      <w:spacing w:after="0"/>
      <w:ind w:left="1622" w:hanging="363"/>
    </w:pPr>
    <w:rPr>
      <w:rFonts w:ascii="Arial" w:hAnsi="Arial" w:cs="Arial"/>
      <w:lang w:val="da-DK" w:eastAsia="da-DK"/>
    </w:rPr>
  </w:style>
  <w:style w:type="character" w:customStyle="1" w:styleId="Doc-titleChar">
    <w:name w:val="Doc-title Char"/>
    <w:link w:val="Doc-title"/>
    <w:locked/>
    <w:rsid w:val="005B16EB"/>
    <w:rPr>
      <w:rFonts w:ascii="Arial" w:hAnsi="Arial" w:cs="Arial"/>
    </w:rPr>
  </w:style>
  <w:style w:type="paragraph" w:customStyle="1" w:styleId="Doc-title">
    <w:name w:val="Doc-title"/>
    <w:basedOn w:val="Normal"/>
    <w:link w:val="Doc-titleChar"/>
    <w:qFormat/>
    <w:rsid w:val="005B16EB"/>
    <w:pPr>
      <w:spacing w:before="60" w:after="0"/>
      <w:ind w:left="1259" w:hanging="1259"/>
    </w:pPr>
    <w:rPr>
      <w:rFonts w:ascii="Arial" w:hAnsi="Arial" w:cs="Arial"/>
      <w:lang w:val="da-DK" w:eastAsia="da-DK"/>
    </w:rPr>
  </w:style>
  <w:style w:type="paragraph" w:customStyle="1" w:styleId="Agreement">
    <w:name w:val="Agreement"/>
    <w:basedOn w:val="Normal"/>
    <w:next w:val="Doc-text2"/>
    <w:rsid w:val="005B16EB"/>
    <w:pPr>
      <w:numPr>
        <w:numId w:val="18"/>
      </w:numPr>
      <w:spacing w:before="60" w:after="0"/>
    </w:pPr>
    <w:rPr>
      <w:rFonts w:ascii="Arial" w:eastAsia="MS Mincho" w:hAnsi="Arial"/>
      <w:b/>
      <w:szCs w:val="24"/>
      <w:lang w:eastAsia="en-GB"/>
    </w:rPr>
  </w:style>
  <w:style w:type="character" w:customStyle="1" w:styleId="TAHCar">
    <w:name w:val="TAH Car"/>
    <w:link w:val="TAH"/>
    <w:rsid w:val="0031012C"/>
    <w:rPr>
      <w:rFonts w:ascii="Arial" w:hAnsi="Arial"/>
      <w:b/>
      <w:sz w:val="18"/>
      <w:lang w:val="en-GB" w:eastAsia="en-US"/>
    </w:rPr>
  </w:style>
  <w:style w:type="paragraph" w:styleId="NormalWeb">
    <w:name w:val="Normal (Web)"/>
    <w:basedOn w:val="Normal"/>
    <w:uiPriority w:val="99"/>
    <w:unhideWhenUsed/>
    <w:rsid w:val="00C77822"/>
    <w:pPr>
      <w:spacing w:before="100" w:beforeAutospacing="1" w:after="100" w:afterAutospacing="1"/>
    </w:pPr>
    <w:rPr>
      <w:sz w:val="24"/>
      <w:szCs w:val="24"/>
      <w:lang w:val="da-DK" w:eastAsia="da-DK"/>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D1A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6051">
      <w:bodyDiv w:val="1"/>
      <w:marLeft w:val="0"/>
      <w:marRight w:val="0"/>
      <w:marTop w:val="0"/>
      <w:marBottom w:val="0"/>
      <w:divBdr>
        <w:top w:val="none" w:sz="0" w:space="0" w:color="auto"/>
        <w:left w:val="none" w:sz="0" w:space="0" w:color="auto"/>
        <w:bottom w:val="none" w:sz="0" w:space="0" w:color="auto"/>
        <w:right w:val="none" w:sz="0" w:space="0" w:color="auto"/>
      </w:divBdr>
    </w:div>
    <w:div w:id="163057805">
      <w:bodyDiv w:val="1"/>
      <w:marLeft w:val="0"/>
      <w:marRight w:val="0"/>
      <w:marTop w:val="0"/>
      <w:marBottom w:val="0"/>
      <w:divBdr>
        <w:top w:val="none" w:sz="0" w:space="0" w:color="auto"/>
        <w:left w:val="none" w:sz="0" w:space="0" w:color="auto"/>
        <w:bottom w:val="none" w:sz="0" w:space="0" w:color="auto"/>
        <w:right w:val="none" w:sz="0" w:space="0" w:color="auto"/>
      </w:divBdr>
    </w:div>
    <w:div w:id="207764916">
      <w:bodyDiv w:val="1"/>
      <w:marLeft w:val="0"/>
      <w:marRight w:val="0"/>
      <w:marTop w:val="0"/>
      <w:marBottom w:val="0"/>
      <w:divBdr>
        <w:top w:val="none" w:sz="0" w:space="0" w:color="auto"/>
        <w:left w:val="none" w:sz="0" w:space="0" w:color="auto"/>
        <w:bottom w:val="none" w:sz="0" w:space="0" w:color="auto"/>
        <w:right w:val="none" w:sz="0" w:space="0" w:color="auto"/>
      </w:divBdr>
    </w:div>
    <w:div w:id="222839582">
      <w:bodyDiv w:val="1"/>
      <w:marLeft w:val="0"/>
      <w:marRight w:val="0"/>
      <w:marTop w:val="0"/>
      <w:marBottom w:val="0"/>
      <w:divBdr>
        <w:top w:val="none" w:sz="0" w:space="0" w:color="auto"/>
        <w:left w:val="none" w:sz="0" w:space="0" w:color="auto"/>
        <w:bottom w:val="none" w:sz="0" w:space="0" w:color="auto"/>
        <w:right w:val="none" w:sz="0" w:space="0" w:color="auto"/>
      </w:divBdr>
    </w:div>
    <w:div w:id="359822409">
      <w:bodyDiv w:val="1"/>
      <w:marLeft w:val="0"/>
      <w:marRight w:val="0"/>
      <w:marTop w:val="0"/>
      <w:marBottom w:val="0"/>
      <w:divBdr>
        <w:top w:val="none" w:sz="0" w:space="0" w:color="auto"/>
        <w:left w:val="none" w:sz="0" w:space="0" w:color="auto"/>
        <w:bottom w:val="none" w:sz="0" w:space="0" w:color="auto"/>
        <w:right w:val="none" w:sz="0" w:space="0" w:color="auto"/>
      </w:divBdr>
    </w:div>
    <w:div w:id="556472260">
      <w:bodyDiv w:val="1"/>
      <w:marLeft w:val="0"/>
      <w:marRight w:val="0"/>
      <w:marTop w:val="0"/>
      <w:marBottom w:val="0"/>
      <w:divBdr>
        <w:top w:val="none" w:sz="0" w:space="0" w:color="auto"/>
        <w:left w:val="none" w:sz="0" w:space="0" w:color="auto"/>
        <w:bottom w:val="none" w:sz="0" w:space="0" w:color="auto"/>
        <w:right w:val="none" w:sz="0" w:space="0" w:color="auto"/>
      </w:divBdr>
    </w:div>
    <w:div w:id="557402333">
      <w:bodyDiv w:val="1"/>
      <w:marLeft w:val="0"/>
      <w:marRight w:val="0"/>
      <w:marTop w:val="0"/>
      <w:marBottom w:val="0"/>
      <w:divBdr>
        <w:top w:val="none" w:sz="0" w:space="0" w:color="auto"/>
        <w:left w:val="none" w:sz="0" w:space="0" w:color="auto"/>
        <w:bottom w:val="none" w:sz="0" w:space="0" w:color="auto"/>
        <w:right w:val="none" w:sz="0" w:space="0" w:color="auto"/>
      </w:divBdr>
    </w:div>
    <w:div w:id="664942639">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7">
          <w:marLeft w:val="446"/>
          <w:marRight w:val="0"/>
          <w:marTop w:val="0"/>
          <w:marBottom w:val="120"/>
          <w:divBdr>
            <w:top w:val="none" w:sz="0" w:space="0" w:color="auto"/>
            <w:left w:val="none" w:sz="0" w:space="0" w:color="auto"/>
            <w:bottom w:val="none" w:sz="0" w:space="0" w:color="auto"/>
            <w:right w:val="none" w:sz="0" w:space="0" w:color="auto"/>
          </w:divBdr>
        </w:div>
        <w:div w:id="1533496133">
          <w:marLeft w:val="446"/>
          <w:marRight w:val="0"/>
          <w:marTop w:val="0"/>
          <w:marBottom w:val="120"/>
          <w:divBdr>
            <w:top w:val="none" w:sz="0" w:space="0" w:color="auto"/>
            <w:left w:val="none" w:sz="0" w:space="0" w:color="auto"/>
            <w:bottom w:val="none" w:sz="0" w:space="0" w:color="auto"/>
            <w:right w:val="none" w:sz="0" w:space="0" w:color="auto"/>
          </w:divBdr>
        </w:div>
        <w:div w:id="1718428962">
          <w:marLeft w:val="446"/>
          <w:marRight w:val="0"/>
          <w:marTop w:val="0"/>
          <w:marBottom w:val="120"/>
          <w:divBdr>
            <w:top w:val="none" w:sz="0" w:space="0" w:color="auto"/>
            <w:left w:val="none" w:sz="0" w:space="0" w:color="auto"/>
            <w:bottom w:val="none" w:sz="0" w:space="0" w:color="auto"/>
            <w:right w:val="none" w:sz="0" w:space="0" w:color="auto"/>
          </w:divBdr>
        </w:div>
        <w:div w:id="1872110459">
          <w:marLeft w:val="446"/>
          <w:marRight w:val="0"/>
          <w:marTop w:val="0"/>
          <w:marBottom w:val="120"/>
          <w:divBdr>
            <w:top w:val="none" w:sz="0" w:space="0" w:color="auto"/>
            <w:left w:val="none" w:sz="0" w:space="0" w:color="auto"/>
            <w:bottom w:val="none" w:sz="0" w:space="0" w:color="auto"/>
            <w:right w:val="none" w:sz="0" w:space="0" w:color="auto"/>
          </w:divBdr>
        </w:div>
      </w:divsChild>
    </w:div>
    <w:div w:id="738600109">
      <w:bodyDiv w:val="1"/>
      <w:marLeft w:val="0"/>
      <w:marRight w:val="0"/>
      <w:marTop w:val="0"/>
      <w:marBottom w:val="0"/>
      <w:divBdr>
        <w:top w:val="none" w:sz="0" w:space="0" w:color="auto"/>
        <w:left w:val="none" w:sz="0" w:space="0" w:color="auto"/>
        <w:bottom w:val="none" w:sz="0" w:space="0" w:color="auto"/>
        <w:right w:val="none" w:sz="0" w:space="0" w:color="auto"/>
      </w:divBdr>
      <w:divsChild>
        <w:div w:id="40641863">
          <w:marLeft w:val="446"/>
          <w:marRight w:val="0"/>
          <w:marTop w:val="0"/>
          <w:marBottom w:val="120"/>
          <w:divBdr>
            <w:top w:val="none" w:sz="0" w:space="0" w:color="auto"/>
            <w:left w:val="none" w:sz="0" w:space="0" w:color="auto"/>
            <w:bottom w:val="none" w:sz="0" w:space="0" w:color="auto"/>
            <w:right w:val="none" w:sz="0" w:space="0" w:color="auto"/>
          </w:divBdr>
        </w:div>
        <w:div w:id="1091971135">
          <w:marLeft w:val="446"/>
          <w:marRight w:val="0"/>
          <w:marTop w:val="0"/>
          <w:marBottom w:val="120"/>
          <w:divBdr>
            <w:top w:val="none" w:sz="0" w:space="0" w:color="auto"/>
            <w:left w:val="none" w:sz="0" w:space="0" w:color="auto"/>
            <w:bottom w:val="none" w:sz="0" w:space="0" w:color="auto"/>
            <w:right w:val="none" w:sz="0" w:space="0" w:color="auto"/>
          </w:divBdr>
        </w:div>
        <w:div w:id="1313295676">
          <w:marLeft w:val="446"/>
          <w:marRight w:val="0"/>
          <w:marTop w:val="0"/>
          <w:marBottom w:val="120"/>
          <w:divBdr>
            <w:top w:val="none" w:sz="0" w:space="0" w:color="auto"/>
            <w:left w:val="none" w:sz="0" w:space="0" w:color="auto"/>
            <w:bottom w:val="none" w:sz="0" w:space="0" w:color="auto"/>
            <w:right w:val="none" w:sz="0" w:space="0" w:color="auto"/>
          </w:divBdr>
        </w:div>
        <w:div w:id="2055228625">
          <w:marLeft w:val="446"/>
          <w:marRight w:val="0"/>
          <w:marTop w:val="0"/>
          <w:marBottom w:val="120"/>
          <w:divBdr>
            <w:top w:val="none" w:sz="0" w:space="0" w:color="auto"/>
            <w:left w:val="none" w:sz="0" w:space="0" w:color="auto"/>
            <w:bottom w:val="none" w:sz="0" w:space="0" w:color="auto"/>
            <w:right w:val="none" w:sz="0" w:space="0" w:color="auto"/>
          </w:divBdr>
        </w:div>
      </w:divsChild>
    </w:div>
    <w:div w:id="778839012">
      <w:bodyDiv w:val="1"/>
      <w:marLeft w:val="0"/>
      <w:marRight w:val="0"/>
      <w:marTop w:val="0"/>
      <w:marBottom w:val="0"/>
      <w:divBdr>
        <w:top w:val="none" w:sz="0" w:space="0" w:color="auto"/>
        <w:left w:val="none" w:sz="0" w:space="0" w:color="auto"/>
        <w:bottom w:val="none" w:sz="0" w:space="0" w:color="auto"/>
        <w:right w:val="none" w:sz="0" w:space="0" w:color="auto"/>
      </w:divBdr>
    </w:div>
    <w:div w:id="808324000">
      <w:bodyDiv w:val="1"/>
      <w:marLeft w:val="0"/>
      <w:marRight w:val="0"/>
      <w:marTop w:val="0"/>
      <w:marBottom w:val="0"/>
      <w:divBdr>
        <w:top w:val="none" w:sz="0" w:space="0" w:color="auto"/>
        <w:left w:val="none" w:sz="0" w:space="0" w:color="auto"/>
        <w:bottom w:val="none" w:sz="0" w:space="0" w:color="auto"/>
        <w:right w:val="none" w:sz="0" w:space="0" w:color="auto"/>
      </w:divBdr>
    </w:div>
    <w:div w:id="866286726">
      <w:bodyDiv w:val="1"/>
      <w:marLeft w:val="0"/>
      <w:marRight w:val="0"/>
      <w:marTop w:val="0"/>
      <w:marBottom w:val="0"/>
      <w:divBdr>
        <w:top w:val="none" w:sz="0" w:space="0" w:color="auto"/>
        <w:left w:val="none" w:sz="0" w:space="0" w:color="auto"/>
        <w:bottom w:val="none" w:sz="0" w:space="0" w:color="auto"/>
        <w:right w:val="none" w:sz="0" w:space="0" w:color="auto"/>
      </w:divBdr>
    </w:div>
    <w:div w:id="1713576196">
      <w:bodyDiv w:val="1"/>
      <w:marLeft w:val="0"/>
      <w:marRight w:val="0"/>
      <w:marTop w:val="0"/>
      <w:marBottom w:val="0"/>
      <w:divBdr>
        <w:top w:val="none" w:sz="0" w:space="0" w:color="auto"/>
        <w:left w:val="none" w:sz="0" w:space="0" w:color="auto"/>
        <w:bottom w:val="none" w:sz="0" w:space="0" w:color="auto"/>
        <w:right w:val="none" w:sz="0" w:space="0" w:color="auto"/>
      </w:divBdr>
      <w:divsChild>
        <w:div w:id="269318001">
          <w:marLeft w:val="446"/>
          <w:marRight w:val="0"/>
          <w:marTop w:val="0"/>
          <w:marBottom w:val="120"/>
          <w:divBdr>
            <w:top w:val="none" w:sz="0" w:space="0" w:color="auto"/>
            <w:left w:val="none" w:sz="0" w:space="0" w:color="auto"/>
            <w:bottom w:val="none" w:sz="0" w:space="0" w:color="auto"/>
            <w:right w:val="none" w:sz="0" w:space="0" w:color="auto"/>
          </w:divBdr>
        </w:div>
        <w:div w:id="424083727">
          <w:marLeft w:val="446"/>
          <w:marRight w:val="0"/>
          <w:marTop w:val="0"/>
          <w:marBottom w:val="120"/>
          <w:divBdr>
            <w:top w:val="none" w:sz="0" w:space="0" w:color="auto"/>
            <w:left w:val="none" w:sz="0" w:space="0" w:color="auto"/>
            <w:bottom w:val="none" w:sz="0" w:space="0" w:color="auto"/>
            <w:right w:val="none" w:sz="0" w:space="0" w:color="auto"/>
          </w:divBdr>
        </w:div>
        <w:div w:id="513888137">
          <w:marLeft w:val="446"/>
          <w:marRight w:val="0"/>
          <w:marTop w:val="0"/>
          <w:marBottom w:val="120"/>
          <w:divBdr>
            <w:top w:val="none" w:sz="0" w:space="0" w:color="auto"/>
            <w:left w:val="none" w:sz="0" w:space="0" w:color="auto"/>
            <w:bottom w:val="none" w:sz="0" w:space="0" w:color="auto"/>
            <w:right w:val="none" w:sz="0" w:space="0" w:color="auto"/>
          </w:divBdr>
        </w:div>
        <w:div w:id="593637195">
          <w:marLeft w:val="446"/>
          <w:marRight w:val="0"/>
          <w:marTop w:val="0"/>
          <w:marBottom w:val="120"/>
          <w:divBdr>
            <w:top w:val="none" w:sz="0" w:space="0" w:color="auto"/>
            <w:left w:val="none" w:sz="0" w:space="0" w:color="auto"/>
            <w:bottom w:val="none" w:sz="0" w:space="0" w:color="auto"/>
            <w:right w:val="none" w:sz="0" w:space="0" w:color="auto"/>
          </w:divBdr>
        </w:div>
      </w:divsChild>
    </w:div>
    <w:div w:id="1936740458">
      <w:bodyDiv w:val="1"/>
      <w:marLeft w:val="0"/>
      <w:marRight w:val="0"/>
      <w:marTop w:val="0"/>
      <w:marBottom w:val="0"/>
      <w:divBdr>
        <w:top w:val="none" w:sz="0" w:space="0" w:color="auto"/>
        <w:left w:val="none" w:sz="0" w:space="0" w:color="auto"/>
        <w:bottom w:val="none" w:sz="0" w:space="0" w:color="auto"/>
        <w:right w:val="none" w:sz="0" w:space="0" w:color="auto"/>
      </w:divBdr>
    </w:div>
    <w:div w:id="19496575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99678">
      <w:bodyDiv w:val="1"/>
      <w:marLeft w:val="0"/>
      <w:marRight w:val="0"/>
      <w:marTop w:val="0"/>
      <w:marBottom w:val="0"/>
      <w:divBdr>
        <w:top w:val="none" w:sz="0" w:space="0" w:color="auto"/>
        <w:left w:val="none" w:sz="0" w:space="0" w:color="auto"/>
        <w:bottom w:val="none" w:sz="0" w:space="0" w:color="auto"/>
        <w:right w:val="none" w:sz="0" w:space="0" w:color="auto"/>
      </w:divBdr>
    </w:div>
    <w:div w:id="21390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5AIRPNAIUNRU-859666464-5285</_dlc_DocId>
    <_dlc_DocIdUrl xmlns="71c5aaf6-e6ce-465b-b873-5148d2a4c105">
      <Url>https://nokia.sharepoint.com/sites/c5g/e2earch/_layouts/15/DocIdRedir.aspx?ID=5AIRPNAIUNRU-859666464-5285</Url>
      <Description>5AIRPNAIUNRU-859666464-5285</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6F0B8-B91B-43E6-A321-DAF5F28AB07A}">
  <ds:schemaRefs>
    <ds:schemaRef ds:uri="http://schemas.microsoft.com/sharepoint/events"/>
  </ds:schemaRefs>
</ds:datastoreItem>
</file>

<file path=customXml/itemProps2.xml><?xml version="1.0" encoding="utf-8"?>
<ds:datastoreItem xmlns:ds="http://schemas.openxmlformats.org/officeDocument/2006/customXml" ds:itemID="{A170228D-5E0A-4033-8BB2-0C3AD3B84D27}">
  <ds:schemaRefs>
    <ds:schemaRef ds:uri="Microsoft.SharePoint.Taxonomy.ContentTypeSync"/>
  </ds:schemaRefs>
</ds:datastoreItem>
</file>

<file path=customXml/itemProps3.xml><?xml version="1.0" encoding="utf-8"?>
<ds:datastoreItem xmlns:ds="http://schemas.openxmlformats.org/officeDocument/2006/customXml" ds:itemID="{086B8526-7C31-4E05-9A7D-D7A0F413A3AD}">
  <ds:schemaRefs>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B33E0C6A-9FD9-4ADF-BE34-7DF4E7B7D945}">
  <ds:schemaRefs>
    <ds:schemaRef ds:uri="http://schemas.microsoft.com/office/2006/metadata/longProperties"/>
  </ds:schemaRefs>
</ds:datastoreItem>
</file>

<file path=customXml/itemProps5.xml><?xml version="1.0" encoding="utf-8"?>
<ds:datastoreItem xmlns:ds="http://schemas.openxmlformats.org/officeDocument/2006/customXml" ds:itemID="{C658911F-0DB7-4B0B-8059-30EEE0425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0F1103-06DD-4881-B341-F73CF68B84FC}">
  <ds:schemaRefs>
    <ds:schemaRef ds:uri="http://schemas.microsoft.com/sharepoint/v3/contenttype/forms"/>
  </ds:schemaRefs>
</ds:datastoreItem>
</file>

<file path=customXml/itemProps7.xml><?xml version="1.0" encoding="utf-8"?>
<ds:datastoreItem xmlns:ds="http://schemas.openxmlformats.org/officeDocument/2006/customXml" ds:itemID="{38F284A9-5B05-447B-BC8E-B777BB84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Wallace</cp:lastModifiedBy>
  <cp:revision>13</cp:revision>
  <dcterms:created xsi:type="dcterms:W3CDTF">2019-07-31T14:03:00Z</dcterms:created>
  <dcterms:modified xsi:type="dcterms:W3CDTF">2019-08-15T11:55:00Z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5AIRPNAIUNRU-859666464-5262</vt:lpwstr>
  </property>
  <property fmtid="{D5CDD505-2E9C-101B-9397-08002B2CF9AE}" pid="3" name="_dlc_DocIdItemGuid">
    <vt:lpwstr>7f3a97df-3328-4c47-aced-5a811eaea0b5</vt:lpwstr>
  </property>
  <property fmtid="{D5CDD505-2E9C-101B-9397-08002B2CF9AE}" pid="4" name="_dlc_DocIdUrl">
    <vt:lpwstr>https://nokia.sharepoint.com/sites/c5g/e2earch/_layouts/15/DocIdRedir.aspx?ID=5AIRPNAIUNRU-859666464-5262, 5AIRPNAIUNRU-859666464-5262</vt:lpwstr>
  </property>
  <property fmtid="{D5CDD505-2E9C-101B-9397-08002B2CF9AE}" pid="5" name="ContentTypeId">
    <vt:lpwstr>0x01010054371E7EC0F13943B87F9D9F2BE005B3</vt:lpwstr>
  </property>
</Properties>
</file>